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214928826"/>
        <w:docPartObj>
          <w:docPartGallery w:val="Cover Pages"/>
          <w:docPartUnique/>
        </w:docPartObj>
      </w:sdtPr>
      <w:sdtEndPr>
        <w:rPr>
          <w:rFonts w:asciiTheme="minorHAnsi" w:eastAsiaTheme="minorHAnsi" w:hAnsiTheme="minorHAnsi" w:cstheme="minorBidi"/>
          <w:caps w:val="0"/>
          <w:sz w:val="48"/>
          <w:szCs w:val="48"/>
          <w:lang w:val="en-GB" w:eastAsia="en-US"/>
        </w:rPr>
      </w:sdtEndPr>
      <w:sdtContent>
        <w:tbl>
          <w:tblPr>
            <w:tblW w:w="5000" w:type="pct"/>
            <w:jc w:val="center"/>
            <w:tblLook w:val="04A0" w:firstRow="1" w:lastRow="0" w:firstColumn="1" w:lastColumn="0" w:noHBand="0" w:noVBand="1"/>
          </w:tblPr>
          <w:tblGrid>
            <w:gridCol w:w="9242"/>
          </w:tblGrid>
          <w:tr w:rsidR="009F458D">
            <w:trPr>
              <w:trHeight w:val="2880"/>
              <w:jc w:val="center"/>
            </w:trPr>
            <w:tc>
              <w:tcPr>
                <w:tcW w:w="5000" w:type="pct"/>
              </w:tcPr>
              <w:p w:rsidR="009F458D" w:rsidRDefault="009F458D">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val="en-GB" w:eastAsia="en-GB"/>
                  </w:rPr>
                  <w:drawing>
                    <wp:inline distT="0" distB="0" distL="0" distR="0" wp14:anchorId="21B5C88D" wp14:editId="55DB96B3">
                      <wp:extent cx="3042285" cy="66421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2285" cy="664210"/>
                              </a:xfrm>
                              <a:prstGeom prst="rect">
                                <a:avLst/>
                              </a:prstGeom>
                              <a:noFill/>
                            </pic:spPr>
                          </pic:pic>
                        </a:graphicData>
                      </a:graphic>
                    </wp:inline>
                  </w:drawing>
                </w:r>
              </w:p>
              <w:p w:rsidR="009F458D" w:rsidRPr="009F458D" w:rsidRDefault="009F458D" w:rsidP="009F458D">
                <w:pPr>
                  <w:tabs>
                    <w:tab w:val="left" w:pos="3985"/>
                  </w:tabs>
                  <w:rPr>
                    <w:lang w:val="en-US" w:eastAsia="ja-JP"/>
                  </w:rPr>
                </w:pPr>
                <w:r>
                  <w:rPr>
                    <w:lang w:val="en-US" w:eastAsia="ja-JP"/>
                  </w:rPr>
                  <w:tab/>
                </w:r>
              </w:p>
            </w:tc>
          </w:tr>
          <w:tr w:rsidR="009F458D">
            <w:trPr>
              <w:trHeight w:val="1440"/>
              <w:jc w:val="center"/>
            </w:trPr>
            <w:sdt>
              <w:sdtPr>
                <w:rPr>
                  <w:rFonts w:ascii="Tahoma" w:eastAsiaTheme="majorEastAsia" w:hAnsi="Tahoma" w:cs="Tahoma"/>
                  <w:sz w:val="80"/>
                  <w:szCs w:val="80"/>
                </w:rPr>
                <w:alias w:val="Title"/>
                <w:id w:val="15524250"/>
                <w:placeholder>
                  <w:docPart w:val="A6B4CE4C26CE4EC8B77E447EA72C9FF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F458D" w:rsidRDefault="009F458D" w:rsidP="009F458D">
                    <w:pPr>
                      <w:pStyle w:val="NoSpacing"/>
                      <w:jc w:val="center"/>
                      <w:rPr>
                        <w:rFonts w:asciiTheme="majorHAnsi" w:eastAsiaTheme="majorEastAsia" w:hAnsiTheme="majorHAnsi" w:cstheme="majorBidi"/>
                        <w:sz w:val="80"/>
                        <w:szCs w:val="80"/>
                      </w:rPr>
                    </w:pPr>
                    <w:r w:rsidRPr="00B861AE">
                      <w:rPr>
                        <w:rFonts w:ascii="Tahoma" w:eastAsiaTheme="majorEastAsia" w:hAnsi="Tahoma" w:cs="Tahoma"/>
                        <w:sz w:val="80"/>
                        <w:szCs w:val="80"/>
                      </w:rPr>
                      <w:t>Civil Penalties under the Housing Act 2004</w:t>
                    </w:r>
                  </w:p>
                </w:tc>
              </w:sdtContent>
            </w:sdt>
          </w:tr>
          <w:tr w:rsidR="009F458D">
            <w:trPr>
              <w:trHeight w:val="720"/>
              <w:jc w:val="center"/>
            </w:trPr>
            <w:sdt>
              <w:sdtPr>
                <w:rPr>
                  <w:rFonts w:ascii="Tahoma" w:eastAsiaTheme="majorEastAsia" w:hAnsi="Tahoma" w:cs="Tahoma"/>
                  <w:sz w:val="44"/>
                  <w:szCs w:val="44"/>
                </w:rPr>
                <w:alias w:val="Subtitle"/>
                <w:id w:val="15524255"/>
                <w:placeholder>
                  <w:docPart w:val="CA029C1AC5954748A0B410C2C593363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F458D" w:rsidRDefault="009F458D">
                    <w:pPr>
                      <w:pStyle w:val="NoSpacing"/>
                      <w:jc w:val="center"/>
                      <w:rPr>
                        <w:rFonts w:asciiTheme="majorHAnsi" w:eastAsiaTheme="majorEastAsia" w:hAnsiTheme="majorHAnsi" w:cstheme="majorBidi"/>
                        <w:sz w:val="44"/>
                        <w:szCs w:val="44"/>
                      </w:rPr>
                    </w:pPr>
                    <w:r w:rsidRPr="00B861AE">
                      <w:rPr>
                        <w:rFonts w:ascii="Tahoma" w:eastAsiaTheme="majorEastAsia" w:hAnsi="Tahoma" w:cs="Tahoma"/>
                        <w:sz w:val="44"/>
                        <w:szCs w:val="44"/>
                      </w:rPr>
                      <w:t>Civil penalty as an alternative to prosecution under the Housing Act 2004</w:t>
                    </w:r>
                  </w:p>
                </w:tc>
              </w:sdtContent>
            </w:sdt>
          </w:tr>
          <w:tr w:rsidR="009F458D">
            <w:trPr>
              <w:trHeight w:val="360"/>
              <w:jc w:val="center"/>
            </w:trPr>
            <w:tc>
              <w:tcPr>
                <w:tcW w:w="5000" w:type="pct"/>
                <w:vAlign w:val="center"/>
              </w:tcPr>
              <w:p w:rsidR="009F458D" w:rsidRDefault="009F458D">
                <w:pPr>
                  <w:pStyle w:val="NoSpacing"/>
                  <w:jc w:val="center"/>
                </w:pPr>
              </w:p>
            </w:tc>
          </w:tr>
          <w:tr w:rsidR="009F458D">
            <w:trPr>
              <w:trHeight w:val="360"/>
              <w:jc w:val="center"/>
            </w:trPr>
            <w:sdt>
              <w:sdtPr>
                <w:rPr>
                  <w:b/>
                  <w:bCs/>
                </w:rPr>
                <w:alias w:val="Author"/>
                <w:id w:val="15524260"/>
                <w:placeholder>
                  <w:docPart w:val="12F8DA9D97DF422A9D3C8684539F8609"/>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F458D" w:rsidRDefault="009F458D">
                    <w:pPr>
                      <w:pStyle w:val="NoSpacing"/>
                      <w:jc w:val="center"/>
                      <w:rPr>
                        <w:b/>
                        <w:bCs/>
                      </w:rPr>
                    </w:pPr>
                    <w:r>
                      <w:rPr>
                        <w:b/>
                        <w:bCs/>
                        <w:lang w:val="en-GB"/>
                      </w:rPr>
                      <w:t>T Cawthorne</w:t>
                    </w:r>
                  </w:p>
                </w:tc>
              </w:sdtContent>
            </w:sdt>
          </w:tr>
          <w:tr w:rsidR="009F458D">
            <w:trPr>
              <w:trHeight w:val="360"/>
              <w:jc w:val="center"/>
            </w:trPr>
            <w:sdt>
              <w:sdtPr>
                <w:rPr>
                  <w:b/>
                  <w:bCs/>
                </w:rPr>
                <w:alias w:val="Date"/>
                <w:id w:val="516659546"/>
                <w:placeholder>
                  <w:docPart w:val="C23024FF863845808D8BCD42FF289236"/>
                </w:placeholder>
                <w:dataBinding w:prefixMappings="xmlns:ns0='http://schemas.microsoft.com/office/2006/coverPageProps'" w:xpath="/ns0:CoverPageProperties[1]/ns0:PublishDate[1]" w:storeItemID="{55AF091B-3C7A-41E3-B477-F2FDAA23CFDA}"/>
                <w:date w:fullDate="2018-06-11T00:00:00Z">
                  <w:dateFormat w:val="M/d/yyyy"/>
                  <w:lid w:val="en-US"/>
                  <w:storeMappedDataAs w:val="dateTime"/>
                  <w:calendar w:val="gregorian"/>
                </w:date>
              </w:sdtPr>
              <w:sdtContent>
                <w:tc>
                  <w:tcPr>
                    <w:tcW w:w="5000" w:type="pct"/>
                    <w:vAlign w:val="center"/>
                  </w:tcPr>
                  <w:p w:rsidR="009F458D" w:rsidRDefault="007465E9" w:rsidP="007465E9">
                    <w:pPr>
                      <w:pStyle w:val="NoSpacing"/>
                      <w:jc w:val="center"/>
                      <w:rPr>
                        <w:b/>
                        <w:bCs/>
                      </w:rPr>
                    </w:pPr>
                    <w:r>
                      <w:rPr>
                        <w:b/>
                        <w:bCs/>
                      </w:rPr>
                      <w:t>11</w:t>
                    </w:r>
                    <w:r w:rsidR="009F458D">
                      <w:rPr>
                        <w:b/>
                        <w:bCs/>
                      </w:rPr>
                      <w:t>/</w:t>
                    </w:r>
                    <w:r>
                      <w:rPr>
                        <w:b/>
                        <w:bCs/>
                      </w:rPr>
                      <w:t>6</w:t>
                    </w:r>
                    <w:r w:rsidR="009F458D">
                      <w:rPr>
                        <w:b/>
                        <w:bCs/>
                      </w:rPr>
                      <w:t>/2018</w:t>
                    </w:r>
                  </w:p>
                </w:tc>
              </w:sdtContent>
            </w:sdt>
          </w:tr>
        </w:tbl>
        <w:p w:rsidR="009F458D" w:rsidRDefault="009F458D"/>
        <w:p w:rsidR="009F458D" w:rsidRDefault="009F458D"/>
        <w:tbl>
          <w:tblPr>
            <w:tblpPr w:leftFromText="187" w:rightFromText="187" w:horzAnchor="margin" w:tblpXSpec="center" w:tblpYSpec="bottom"/>
            <w:tblW w:w="5000" w:type="pct"/>
            <w:tblLook w:val="04A0" w:firstRow="1" w:lastRow="0" w:firstColumn="1" w:lastColumn="0" w:noHBand="0" w:noVBand="1"/>
          </w:tblPr>
          <w:tblGrid>
            <w:gridCol w:w="9242"/>
          </w:tblGrid>
          <w:tr w:rsidR="009F458D">
            <w:sdt>
              <w:sdtPr>
                <w:rPr>
                  <w:rFonts w:ascii="Tahoma" w:hAnsi="Tahoma" w:cs="Tahoma"/>
                </w:rPr>
                <w:alias w:val="Abstract"/>
                <w:id w:val="8276291"/>
                <w:placeholder>
                  <w:docPart w:val="F8056AAE674D4A55BB091FC378CCAF86"/>
                </w:placeholder>
                <w:dataBinding w:prefixMappings="xmlns:ns0='http://schemas.microsoft.com/office/2006/coverPageProps'" w:xpath="/ns0:CoverPageProperties[1]/ns0:Abstract[1]" w:storeItemID="{55AF091B-3C7A-41E3-B477-F2FDAA23CFDA}"/>
                <w:text/>
              </w:sdtPr>
              <w:sdtContent>
                <w:tc>
                  <w:tcPr>
                    <w:tcW w:w="5000" w:type="pct"/>
                  </w:tcPr>
                  <w:p w:rsidR="009F458D" w:rsidRDefault="009F458D">
                    <w:pPr>
                      <w:pStyle w:val="NoSpacing"/>
                    </w:pPr>
                    <w:r w:rsidRPr="00B861AE">
                      <w:rPr>
                        <w:rFonts w:ascii="Tahoma" w:hAnsi="Tahoma" w:cs="Tahoma"/>
                      </w:rPr>
                      <w:t>The Housing and Planning Act 2016 amends the Housing Act 2004 to allow financial penalties, up to a maximum of £30,000, to be imposed as an alternative to prosecution for certain relevant housing offences</w:t>
                    </w:r>
                  </w:p>
                </w:tc>
              </w:sdtContent>
            </w:sdt>
          </w:tr>
        </w:tbl>
        <w:p w:rsidR="009F458D" w:rsidRDefault="009F458D"/>
        <w:p w:rsidR="009F458D" w:rsidRDefault="009F458D">
          <w:pPr>
            <w:rPr>
              <w:rFonts w:ascii="Arial" w:hAnsi="Arial" w:cs="Arial"/>
              <w:color w:val="000000"/>
              <w:sz w:val="48"/>
              <w:szCs w:val="48"/>
            </w:rPr>
          </w:pPr>
          <w:r>
            <w:rPr>
              <w:sz w:val="48"/>
              <w:szCs w:val="48"/>
            </w:rPr>
            <w:br w:type="page"/>
          </w:r>
        </w:p>
      </w:sdtContent>
    </w:sdt>
    <w:p w:rsidR="004B20C5" w:rsidRDefault="004B20C5" w:rsidP="004B20C5">
      <w:pPr>
        <w:pStyle w:val="Default"/>
        <w:rPr>
          <w:sz w:val="48"/>
          <w:szCs w:val="48"/>
        </w:rPr>
      </w:pPr>
      <w:r>
        <w:rPr>
          <w:sz w:val="48"/>
          <w:szCs w:val="48"/>
        </w:rPr>
        <w:lastRenderedPageBreak/>
        <w:t xml:space="preserve">Civil penalty as an alternative to prosecution under the Housing Act 2004 </w:t>
      </w:r>
    </w:p>
    <w:p w:rsidR="00B25230" w:rsidRDefault="00B25230" w:rsidP="004B20C5">
      <w:pPr>
        <w:pStyle w:val="Default"/>
        <w:rPr>
          <w:b/>
          <w:bCs/>
          <w:i/>
          <w:iCs/>
          <w:sz w:val="32"/>
          <w:szCs w:val="32"/>
        </w:rPr>
      </w:pPr>
    </w:p>
    <w:p w:rsidR="004B20C5" w:rsidRDefault="00B25230" w:rsidP="004B20C5">
      <w:pPr>
        <w:pStyle w:val="Default"/>
        <w:rPr>
          <w:sz w:val="32"/>
          <w:szCs w:val="32"/>
        </w:rPr>
      </w:pPr>
      <w:r>
        <w:rPr>
          <w:b/>
          <w:bCs/>
          <w:i/>
          <w:iCs/>
          <w:sz w:val="32"/>
          <w:szCs w:val="32"/>
        </w:rPr>
        <w:t>Oadby and Wigston Borough</w:t>
      </w:r>
      <w:r w:rsidR="004B20C5">
        <w:rPr>
          <w:b/>
          <w:bCs/>
          <w:i/>
          <w:iCs/>
          <w:sz w:val="32"/>
          <w:szCs w:val="32"/>
        </w:rPr>
        <w:t xml:space="preserve"> Council policy on deciding on a financial penalty amount </w:t>
      </w:r>
    </w:p>
    <w:p w:rsidR="004B20C5" w:rsidRDefault="004B20C5" w:rsidP="004B20C5">
      <w:pPr>
        <w:pStyle w:val="Default"/>
        <w:rPr>
          <w:b/>
          <w:bCs/>
          <w:sz w:val="28"/>
          <w:szCs w:val="28"/>
        </w:rPr>
      </w:pPr>
    </w:p>
    <w:p w:rsidR="004B20C5" w:rsidRDefault="004B20C5" w:rsidP="004B20C5">
      <w:pPr>
        <w:pStyle w:val="Default"/>
        <w:rPr>
          <w:sz w:val="28"/>
          <w:szCs w:val="28"/>
        </w:rPr>
      </w:pPr>
      <w:r>
        <w:rPr>
          <w:b/>
          <w:bCs/>
          <w:sz w:val="28"/>
          <w:szCs w:val="28"/>
        </w:rPr>
        <w:t xml:space="preserve">Introduction </w:t>
      </w:r>
    </w:p>
    <w:p w:rsidR="004B20C5" w:rsidRDefault="004B20C5" w:rsidP="004B20C5">
      <w:pPr>
        <w:pStyle w:val="Default"/>
        <w:rPr>
          <w:sz w:val="22"/>
          <w:szCs w:val="22"/>
        </w:rPr>
      </w:pPr>
    </w:p>
    <w:p w:rsidR="004B20C5" w:rsidRDefault="004B20C5" w:rsidP="004B20C5">
      <w:pPr>
        <w:pStyle w:val="Default"/>
        <w:rPr>
          <w:sz w:val="22"/>
          <w:szCs w:val="22"/>
        </w:rPr>
      </w:pPr>
      <w:r>
        <w:rPr>
          <w:sz w:val="22"/>
          <w:szCs w:val="22"/>
        </w:rPr>
        <w:t xml:space="preserve">The Housing and Planning Act 2016 (‘the 2016 Act’) amends the Housing Act 2004 (‘the 2004 Act’) to allow financial penalties, up to a maximum of £30,000, to be imposed as an alternative to prosecution for certain relevant housing offences. </w:t>
      </w:r>
    </w:p>
    <w:p w:rsidR="004B20C5" w:rsidRDefault="004B20C5" w:rsidP="004B20C5">
      <w:pPr>
        <w:pStyle w:val="Default"/>
        <w:rPr>
          <w:sz w:val="22"/>
          <w:szCs w:val="22"/>
        </w:rPr>
      </w:pPr>
    </w:p>
    <w:p w:rsidR="004B20C5" w:rsidRDefault="00686B17" w:rsidP="004B20C5">
      <w:pPr>
        <w:pStyle w:val="Default"/>
        <w:rPr>
          <w:sz w:val="22"/>
          <w:szCs w:val="22"/>
        </w:rPr>
      </w:pPr>
      <w:r>
        <w:rPr>
          <w:sz w:val="22"/>
          <w:szCs w:val="22"/>
        </w:rPr>
        <w:t>Marcus Jones MP (Parliamentary u</w:t>
      </w:r>
      <w:r w:rsidR="004B20C5">
        <w:rPr>
          <w:sz w:val="22"/>
          <w:szCs w:val="22"/>
        </w:rPr>
        <w:t xml:space="preserve">nder Secretary of State at the Department for Communities and Local Government) has stated that: </w:t>
      </w:r>
    </w:p>
    <w:p w:rsidR="004B20C5" w:rsidRDefault="004B20C5" w:rsidP="004B20C5">
      <w:pPr>
        <w:pStyle w:val="Default"/>
        <w:rPr>
          <w:sz w:val="22"/>
          <w:szCs w:val="22"/>
        </w:rPr>
      </w:pPr>
    </w:p>
    <w:p w:rsidR="004B20C5" w:rsidRDefault="004B20C5" w:rsidP="00B25230">
      <w:pPr>
        <w:pStyle w:val="Default"/>
        <w:ind w:left="1134" w:right="1088"/>
        <w:jc w:val="both"/>
        <w:rPr>
          <w:sz w:val="22"/>
          <w:szCs w:val="22"/>
        </w:rPr>
      </w:pPr>
      <w:r>
        <w:rPr>
          <w:sz w:val="22"/>
          <w:szCs w:val="22"/>
        </w:rPr>
        <w:t>‘[it is necessary to] clamp down on rogue landlords, so the civil penalty [has been incre</w:t>
      </w:r>
      <w:r w:rsidR="00B25230">
        <w:rPr>
          <w:sz w:val="22"/>
          <w:szCs w:val="22"/>
        </w:rPr>
        <w:t xml:space="preserve">ased] up to a maximum of £30,000. </w:t>
      </w:r>
      <w:r>
        <w:rPr>
          <w:sz w:val="22"/>
          <w:szCs w:val="22"/>
        </w:rPr>
        <w:t xml:space="preserve">It is important [to] raise the level of civil penalty to £30,000, because a smaller fine may not be significant enough for landlords who flout the law to think seriously about their behaviour and provide good quality, private sector rented accommodation for their tenants.’ </w:t>
      </w:r>
    </w:p>
    <w:p w:rsidR="004B20C5" w:rsidRDefault="004B20C5" w:rsidP="004B20C5">
      <w:pPr>
        <w:pStyle w:val="Default"/>
        <w:rPr>
          <w:sz w:val="22"/>
          <w:szCs w:val="22"/>
        </w:rPr>
      </w:pPr>
    </w:p>
    <w:p w:rsidR="004B20C5" w:rsidRDefault="004B20C5" w:rsidP="004B20C5">
      <w:pPr>
        <w:pStyle w:val="Default"/>
        <w:rPr>
          <w:sz w:val="22"/>
          <w:szCs w:val="22"/>
        </w:rPr>
      </w:pPr>
      <w:r>
        <w:rPr>
          <w:sz w:val="22"/>
          <w:szCs w:val="22"/>
        </w:rPr>
        <w:t xml:space="preserve">This policy sets out guidance as to how </w:t>
      </w:r>
      <w:r w:rsidR="00B25230">
        <w:rPr>
          <w:sz w:val="22"/>
          <w:szCs w:val="22"/>
        </w:rPr>
        <w:t>Oadby and Wigston Borough</w:t>
      </w:r>
      <w:r>
        <w:rPr>
          <w:sz w:val="22"/>
          <w:szCs w:val="22"/>
        </w:rPr>
        <w:t xml:space="preserve"> Council will determine the level of financial penalty in individual cases, once the decision to impose a financial penalty has been made. </w:t>
      </w:r>
    </w:p>
    <w:p w:rsidR="004B20C5" w:rsidRDefault="004B20C5" w:rsidP="004B20C5">
      <w:pPr>
        <w:pStyle w:val="Default"/>
        <w:rPr>
          <w:sz w:val="22"/>
          <w:szCs w:val="22"/>
        </w:rPr>
      </w:pPr>
    </w:p>
    <w:p w:rsidR="004B20C5" w:rsidRDefault="004B20C5" w:rsidP="004B20C5">
      <w:pPr>
        <w:pStyle w:val="Default"/>
        <w:rPr>
          <w:b/>
          <w:bCs/>
          <w:i/>
          <w:iCs/>
          <w:sz w:val="23"/>
          <w:szCs w:val="23"/>
        </w:rPr>
      </w:pPr>
      <w:r>
        <w:rPr>
          <w:b/>
          <w:bCs/>
          <w:i/>
          <w:iCs/>
          <w:sz w:val="23"/>
          <w:szCs w:val="23"/>
        </w:rPr>
        <w:t xml:space="preserve">Consultation </w:t>
      </w:r>
    </w:p>
    <w:p w:rsidR="004B20C5" w:rsidRDefault="004B20C5" w:rsidP="004B20C5">
      <w:pPr>
        <w:pStyle w:val="Default"/>
        <w:rPr>
          <w:sz w:val="23"/>
          <w:szCs w:val="23"/>
        </w:rPr>
      </w:pPr>
    </w:p>
    <w:p w:rsidR="007465E9" w:rsidRDefault="004B20C5" w:rsidP="004B20C5">
      <w:pPr>
        <w:pStyle w:val="Default"/>
        <w:rPr>
          <w:sz w:val="22"/>
          <w:szCs w:val="22"/>
        </w:rPr>
      </w:pPr>
      <w:r>
        <w:rPr>
          <w:sz w:val="22"/>
          <w:szCs w:val="22"/>
        </w:rPr>
        <w:t xml:space="preserve">Views were sought from landlords, agents and tenants and were taken into consideration when finalising this guidance. See appendix 1 for a list of the consultees. </w:t>
      </w:r>
    </w:p>
    <w:p w:rsidR="007465E9" w:rsidRDefault="007465E9" w:rsidP="004B20C5">
      <w:pPr>
        <w:pStyle w:val="Default"/>
        <w:rPr>
          <w:sz w:val="22"/>
          <w:szCs w:val="22"/>
        </w:rPr>
      </w:pPr>
    </w:p>
    <w:p w:rsidR="004B20C5" w:rsidRDefault="007465E9" w:rsidP="004B20C5">
      <w:pPr>
        <w:pStyle w:val="Default"/>
        <w:rPr>
          <w:sz w:val="22"/>
          <w:szCs w:val="22"/>
        </w:rPr>
      </w:pPr>
      <w:proofErr w:type="gramStart"/>
      <w:r>
        <w:rPr>
          <w:sz w:val="22"/>
          <w:szCs w:val="22"/>
        </w:rPr>
        <w:t>A</w:t>
      </w:r>
      <w:r w:rsidR="00C665D4">
        <w:rPr>
          <w:sz w:val="22"/>
          <w:szCs w:val="22"/>
        </w:rPr>
        <w:t xml:space="preserve">cknowledgment </w:t>
      </w:r>
      <w:r>
        <w:rPr>
          <w:sz w:val="22"/>
          <w:szCs w:val="22"/>
        </w:rPr>
        <w:t>to</w:t>
      </w:r>
      <w:r w:rsidR="00C665D4">
        <w:rPr>
          <w:sz w:val="22"/>
          <w:szCs w:val="22"/>
        </w:rPr>
        <w:t xml:space="preserve"> Bristol City Council and the Local Government Association in the formation of this Policy.</w:t>
      </w:r>
      <w:proofErr w:type="gramEnd"/>
    </w:p>
    <w:p w:rsidR="004B20C5" w:rsidRDefault="004B20C5" w:rsidP="004B20C5">
      <w:pPr>
        <w:pStyle w:val="Default"/>
        <w:rPr>
          <w:b/>
          <w:bCs/>
          <w:i/>
          <w:iCs/>
          <w:sz w:val="23"/>
          <w:szCs w:val="23"/>
        </w:rPr>
      </w:pPr>
    </w:p>
    <w:p w:rsidR="00211277" w:rsidRDefault="00211277">
      <w:pPr>
        <w:rPr>
          <w:rFonts w:ascii="Arial" w:hAnsi="Arial" w:cs="Arial"/>
          <w:b/>
          <w:bCs/>
          <w:i/>
          <w:iCs/>
          <w:color w:val="000000"/>
          <w:sz w:val="23"/>
          <w:szCs w:val="23"/>
        </w:rPr>
      </w:pPr>
      <w:r>
        <w:rPr>
          <w:b/>
          <w:bCs/>
          <w:i/>
          <w:iCs/>
          <w:sz w:val="23"/>
          <w:szCs w:val="23"/>
        </w:rPr>
        <w:br w:type="page"/>
      </w:r>
    </w:p>
    <w:p w:rsidR="004B20C5" w:rsidRDefault="004B20C5" w:rsidP="004B20C5">
      <w:pPr>
        <w:pStyle w:val="Default"/>
        <w:rPr>
          <w:b/>
          <w:bCs/>
          <w:i/>
          <w:iCs/>
          <w:sz w:val="23"/>
          <w:szCs w:val="23"/>
        </w:rPr>
      </w:pPr>
      <w:r>
        <w:rPr>
          <w:b/>
          <w:bCs/>
          <w:i/>
          <w:iCs/>
          <w:sz w:val="23"/>
          <w:szCs w:val="23"/>
        </w:rPr>
        <w:lastRenderedPageBreak/>
        <w:t xml:space="preserve">Government Guidance </w:t>
      </w:r>
    </w:p>
    <w:p w:rsidR="004B20C5" w:rsidRDefault="004B20C5" w:rsidP="004B20C5">
      <w:pPr>
        <w:pStyle w:val="Default"/>
        <w:rPr>
          <w:sz w:val="23"/>
          <w:szCs w:val="23"/>
        </w:rPr>
      </w:pPr>
    </w:p>
    <w:p w:rsidR="004B20C5" w:rsidRDefault="004B20C5" w:rsidP="004B20C5">
      <w:pPr>
        <w:pStyle w:val="Default"/>
        <w:rPr>
          <w:sz w:val="22"/>
          <w:szCs w:val="22"/>
        </w:rPr>
      </w:pPr>
      <w:r>
        <w:rPr>
          <w:sz w:val="22"/>
          <w:szCs w:val="22"/>
        </w:rPr>
        <w:t xml:space="preserve">The Government’s Department for Communities and Local Government (DCLG) have published the following document: </w:t>
      </w:r>
      <w:hyperlink r:id="rId11" w:history="1">
        <w:r w:rsidR="00803BF1" w:rsidRPr="00803BF1">
          <w:rPr>
            <w:rStyle w:val="Hyperlink"/>
            <w:sz w:val="22"/>
            <w:szCs w:val="22"/>
          </w:rPr>
          <w:t>"Civil Penalties u</w:t>
        </w:r>
        <w:r w:rsidR="00686B17">
          <w:rPr>
            <w:rStyle w:val="Hyperlink"/>
            <w:sz w:val="22"/>
            <w:szCs w:val="22"/>
          </w:rPr>
          <w:t>nder the Housing and</w:t>
        </w:r>
        <w:r w:rsidR="00686B17">
          <w:rPr>
            <w:rStyle w:val="Hyperlink"/>
            <w:sz w:val="22"/>
            <w:szCs w:val="22"/>
          </w:rPr>
          <w:t xml:space="preserve"> </w:t>
        </w:r>
        <w:r w:rsidR="00686B17">
          <w:rPr>
            <w:rStyle w:val="Hyperlink"/>
            <w:sz w:val="22"/>
            <w:szCs w:val="22"/>
          </w:rPr>
          <w:t>planning Ac</w:t>
        </w:r>
        <w:r w:rsidR="00803BF1" w:rsidRPr="00803BF1">
          <w:rPr>
            <w:rStyle w:val="Hyperlink"/>
            <w:sz w:val="22"/>
            <w:szCs w:val="22"/>
          </w:rPr>
          <w:t>t 2016:- Guidance for Local Authorities"</w:t>
        </w:r>
      </w:hyperlink>
      <w:r>
        <w:rPr>
          <w:sz w:val="22"/>
          <w:szCs w:val="22"/>
        </w:rPr>
        <w:t xml:space="preserve"> under the Housing and Planning Act 2016: Guidance for Local Authorities”. This is statutory guidance to which local housing authorities must have regard. This statutory guidance recommends certain factors a local authority should take into account when deciding on the level of civil financial penalty and further recommends that local authorities develop and document their own policy on determining the appropriate level of financial penalty in a particular case. </w:t>
      </w:r>
    </w:p>
    <w:p w:rsidR="004B20C5" w:rsidRDefault="004B20C5" w:rsidP="004B20C5">
      <w:pPr>
        <w:pStyle w:val="Default"/>
        <w:rPr>
          <w:sz w:val="22"/>
          <w:szCs w:val="22"/>
        </w:rPr>
      </w:pPr>
    </w:p>
    <w:p w:rsidR="004B20C5" w:rsidRDefault="004B20C5" w:rsidP="004B20C5">
      <w:pPr>
        <w:pStyle w:val="Default"/>
        <w:rPr>
          <w:b/>
          <w:bCs/>
          <w:i/>
          <w:iCs/>
          <w:sz w:val="23"/>
          <w:szCs w:val="23"/>
        </w:rPr>
      </w:pPr>
      <w:r>
        <w:rPr>
          <w:b/>
          <w:bCs/>
          <w:i/>
          <w:iCs/>
          <w:sz w:val="23"/>
          <w:szCs w:val="23"/>
        </w:rPr>
        <w:t xml:space="preserve">The purpose of this policy </w:t>
      </w:r>
    </w:p>
    <w:p w:rsidR="004B20C5" w:rsidRDefault="004B20C5" w:rsidP="004B20C5">
      <w:pPr>
        <w:pStyle w:val="Default"/>
        <w:rPr>
          <w:sz w:val="23"/>
          <w:szCs w:val="23"/>
        </w:rPr>
      </w:pPr>
    </w:p>
    <w:p w:rsidR="004B20C5" w:rsidRDefault="004B20C5" w:rsidP="004B20C5">
      <w:pPr>
        <w:pStyle w:val="Default"/>
        <w:rPr>
          <w:sz w:val="22"/>
          <w:szCs w:val="22"/>
        </w:rPr>
      </w:pPr>
      <w:r>
        <w:rPr>
          <w:sz w:val="22"/>
          <w:szCs w:val="22"/>
        </w:rPr>
        <w:t xml:space="preserve">This is </w:t>
      </w:r>
      <w:r w:rsidR="00B25230">
        <w:rPr>
          <w:sz w:val="22"/>
          <w:szCs w:val="22"/>
        </w:rPr>
        <w:t>Oadby and Wigston Borough</w:t>
      </w:r>
      <w:r>
        <w:rPr>
          <w:sz w:val="22"/>
          <w:szCs w:val="22"/>
        </w:rPr>
        <w:t xml:space="preserve"> Council’s published policy in line with DCLG’s recommendation that it should have a policy on determining the appropriate level of financial penalty in a particular case. </w:t>
      </w:r>
    </w:p>
    <w:p w:rsidR="004B20C5" w:rsidRDefault="004B20C5" w:rsidP="004B20C5">
      <w:pPr>
        <w:pStyle w:val="Default"/>
        <w:rPr>
          <w:sz w:val="22"/>
          <w:szCs w:val="22"/>
        </w:rPr>
      </w:pPr>
    </w:p>
    <w:p w:rsidR="004B20C5" w:rsidRDefault="004B20C5" w:rsidP="004B20C5">
      <w:pPr>
        <w:pStyle w:val="Default"/>
        <w:rPr>
          <w:sz w:val="22"/>
          <w:szCs w:val="22"/>
        </w:rPr>
      </w:pPr>
      <w:r>
        <w:rPr>
          <w:b/>
          <w:bCs/>
          <w:sz w:val="22"/>
          <w:szCs w:val="22"/>
        </w:rPr>
        <w:t xml:space="preserve">Local Government Association guidance </w:t>
      </w:r>
    </w:p>
    <w:p w:rsidR="004B20C5" w:rsidRDefault="004B20C5" w:rsidP="004B20C5">
      <w:pPr>
        <w:pStyle w:val="Default"/>
        <w:rPr>
          <w:sz w:val="22"/>
          <w:szCs w:val="22"/>
        </w:rPr>
      </w:pPr>
    </w:p>
    <w:p w:rsidR="004B20C5" w:rsidRDefault="00B25230" w:rsidP="004B20C5">
      <w:pPr>
        <w:pStyle w:val="Default"/>
        <w:rPr>
          <w:sz w:val="22"/>
          <w:szCs w:val="22"/>
        </w:rPr>
      </w:pPr>
      <w:r>
        <w:rPr>
          <w:sz w:val="22"/>
          <w:szCs w:val="22"/>
        </w:rPr>
        <w:t>Oadby and Wigston Borough</w:t>
      </w:r>
      <w:r w:rsidR="004B20C5">
        <w:rPr>
          <w:sz w:val="22"/>
          <w:szCs w:val="22"/>
        </w:rPr>
        <w:t xml:space="preserve"> Council </w:t>
      </w:r>
      <w:proofErr w:type="gramStart"/>
      <w:r w:rsidR="00686B17">
        <w:rPr>
          <w:sz w:val="22"/>
          <w:szCs w:val="22"/>
        </w:rPr>
        <w:t>has</w:t>
      </w:r>
      <w:proofErr w:type="gramEnd"/>
      <w:r w:rsidR="00686B17">
        <w:rPr>
          <w:sz w:val="22"/>
          <w:szCs w:val="22"/>
        </w:rPr>
        <w:t xml:space="preserve"> used the guidance issued by the </w:t>
      </w:r>
      <w:r w:rsidR="004B20C5">
        <w:rPr>
          <w:sz w:val="22"/>
          <w:szCs w:val="22"/>
        </w:rPr>
        <w:t>Local Government Assoc</w:t>
      </w:r>
      <w:r>
        <w:rPr>
          <w:sz w:val="22"/>
          <w:szCs w:val="22"/>
        </w:rPr>
        <w:t>iation in the compilation of</w:t>
      </w:r>
      <w:r w:rsidR="004B20C5">
        <w:rPr>
          <w:sz w:val="22"/>
          <w:szCs w:val="22"/>
        </w:rPr>
        <w:t xml:space="preserve"> their policy</w:t>
      </w:r>
      <w:r>
        <w:rPr>
          <w:sz w:val="22"/>
          <w:szCs w:val="22"/>
        </w:rPr>
        <w:t xml:space="preserve"> </w:t>
      </w:r>
      <w:r w:rsidR="004B20C5">
        <w:rPr>
          <w:sz w:val="22"/>
          <w:szCs w:val="22"/>
        </w:rPr>
        <w:t xml:space="preserve">on Civil Penalty Notices. </w:t>
      </w:r>
    </w:p>
    <w:p w:rsidR="004B20C5" w:rsidRDefault="004B20C5" w:rsidP="004B20C5">
      <w:pPr>
        <w:pStyle w:val="Default"/>
        <w:rPr>
          <w:b/>
          <w:bCs/>
          <w:i/>
          <w:iCs/>
          <w:sz w:val="23"/>
          <w:szCs w:val="23"/>
        </w:rPr>
      </w:pPr>
    </w:p>
    <w:p w:rsidR="004B20C5" w:rsidRDefault="004B20C5" w:rsidP="004B20C5">
      <w:pPr>
        <w:pStyle w:val="Default"/>
        <w:rPr>
          <w:b/>
          <w:bCs/>
          <w:i/>
          <w:iCs/>
          <w:sz w:val="23"/>
          <w:szCs w:val="23"/>
        </w:rPr>
      </w:pPr>
      <w:r>
        <w:rPr>
          <w:b/>
          <w:bCs/>
          <w:i/>
          <w:iCs/>
          <w:sz w:val="23"/>
          <w:szCs w:val="23"/>
        </w:rPr>
        <w:t xml:space="preserve">Basis of this policy </w:t>
      </w:r>
    </w:p>
    <w:p w:rsidR="004B20C5" w:rsidRDefault="004B20C5" w:rsidP="004B20C5">
      <w:pPr>
        <w:pStyle w:val="Default"/>
        <w:rPr>
          <w:sz w:val="23"/>
          <w:szCs w:val="23"/>
        </w:rPr>
      </w:pPr>
    </w:p>
    <w:p w:rsidR="004B20C5" w:rsidRDefault="004B20C5" w:rsidP="004B20C5">
      <w:pPr>
        <w:pStyle w:val="Default"/>
        <w:rPr>
          <w:sz w:val="22"/>
          <w:szCs w:val="22"/>
        </w:rPr>
      </w:pPr>
      <w:r>
        <w:rPr>
          <w:sz w:val="22"/>
          <w:szCs w:val="22"/>
        </w:rPr>
        <w:t xml:space="preserve">In accordance with the new section </w:t>
      </w:r>
      <w:proofErr w:type="gramStart"/>
      <w:r>
        <w:rPr>
          <w:sz w:val="22"/>
          <w:szCs w:val="22"/>
        </w:rPr>
        <w:t>249A(</w:t>
      </w:r>
      <w:proofErr w:type="gramEnd"/>
      <w:r>
        <w:rPr>
          <w:sz w:val="22"/>
          <w:szCs w:val="22"/>
        </w:rPr>
        <w:t xml:space="preserve">4) of the 2004 Act the amount of a financial penalty is to be determined by the local housing authority. Although the statutory guidance recommends factors a local authority should take into account when deciding on the level of penalty, it does not go into any level of detail in this regard. The Council therefore has a wide discretion in determining the appropriate level of civil penalty in a particular case and seeks to set out further guidance through this policy as to how it will do so. </w:t>
      </w:r>
    </w:p>
    <w:p w:rsidR="004B20C5" w:rsidRDefault="004B20C5" w:rsidP="004B20C5">
      <w:pPr>
        <w:pStyle w:val="Default"/>
        <w:rPr>
          <w:sz w:val="22"/>
          <w:szCs w:val="22"/>
        </w:rPr>
      </w:pPr>
    </w:p>
    <w:p w:rsidR="004B20C5" w:rsidRDefault="004B20C5" w:rsidP="004B20C5">
      <w:pPr>
        <w:pStyle w:val="Default"/>
        <w:rPr>
          <w:sz w:val="22"/>
          <w:szCs w:val="22"/>
        </w:rPr>
      </w:pPr>
      <w:r>
        <w:rPr>
          <w:sz w:val="22"/>
          <w:szCs w:val="22"/>
        </w:rPr>
        <w:t>The Council has decided to largely base this policy on the principles set out in the</w:t>
      </w:r>
      <w:r w:rsidR="00441FDD">
        <w:rPr>
          <w:sz w:val="22"/>
          <w:szCs w:val="22"/>
        </w:rPr>
        <w:t xml:space="preserve"> </w:t>
      </w:r>
      <w:hyperlink r:id="rId12" w:history="1">
        <w:r w:rsidR="00803BF1" w:rsidRPr="00803BF1">
          <w:rPr>
            <w:rStyle w:val="Hyperlink"/>
            <w:sz w:val="22"/>
            <w:szCs w:val="22"/>
          </w:rPr>
          <w:t>Sentencing Council Health and Safety Offences, Corporate Manslaughter and Food Safety and Hygiene Offences Definiti</w:t>
        </w:r>
        <w:r w:rsidR="00803BF1" w:rsidRPr="00803BF1">
          <w:rPr>
            <w:rStyle w:val="Hyperlink"/>
            <w:sz w:val="22"/>
            <w:szCs w:val="22"/>
          </w:rPr>
          <w:t>v</w:t>
        </w:r>
        <w:r w:rsidR="00803BF1" w:rsidRPr="00803BF1">
          <w:rPr>
            <w:rStyle w:val="Hyperlink"/>
            <w:sz w:val="22"/>
            <w:szCs w:val="22"/>
          </w:rPr>
          <w:t>e Guide</w:t>
        </w:r>
      </w:hyperlink>
      <w:r>
        <w:rPr>
          <w:sz w:val="22"/>
          <w:szCs w:val="22"/>
        </w:rPr>
        <w:t xml:space="preserve"> which this Council considers to be the most relevant sentencing guidance issued by the Sentencing Council. The Sentencing Council have set out a range of fines which are linked to the culpability of the offender and the actual and potential harm resulting from the offence. </w:t>
      </w:r>
    </w:p>
    <w:p w:rsidR="004B20C5" w:rsidRDefault="004B20C5" w:rsidP="004B20C5">
      <w:pPr>
        <w:pStyle w:val="Default"/>
        <w:rPr>
          <w:sz w:val="22"/>
          <w:szCs w:val="22"/>
        </w:rPr>
      </w:pPr>
    </w:p>
    <w:p w:rsidR="004B20C5" w:rsidRDefault="004B20C5" w:rsidP="004B20C5">
      <w:pPr>
        <w:pStyle w:val="Default"/>
        <w:rPr>
          <w:sz w:val="22"/>
          <w:szCs w:val="22"/>
        </w:rPr>
      </w:pPr>
      <w:r>
        <w:rPr>
          <w:sz w:val="22"/>
          <w:szCs w:val="22"/>
        </w:rPr>
        <w:t xml:space="preserve">The range of financial penalties in this guidance use similar ratios to those that are used by the Sentencing Council because these ensure that penalty levels are fair, appropriate and reasonable for the seriousness of the offence. </w:t>
      </w:r>
    </w:p>
    <w:p w:rsidR="004B20C5" w:rsidRDefault="004B20C5" w:rsidP="004B20C5">
      <w:pPr>
        <w:pStyle w:val="Default"/>
        <w:rPr>
          <w:sz w:val="22"/>
          <w:szCs w:val="22"/>
        </w:rPr>
      </w:pPr>
    </w:p>
    <w:p w:rsidR="004B20C5" w:rsidRDefault="004B20C5" w:rsidP="004B20C5">
      <w:pPr>
        <w:pStyle w:val="Default"/>
        <w:rPr>
          <w:b/>
          <w:bCs/>
          <w:i/>
          <w:iCs/>
          <w:sz w:val="23"/>
          <w:szCs w:val="23"/>
        </w:rPr>
      </w:pPr>
      <w:proofErr w:type="gramStart"/>
      <w:r>
        <w:rPr>
          <w:b/>
          <w:bCs/>
          <w:i/>
          <w:iCs/>
          <w:sz w:val="23"/>
          <w:szCs w:val="23"/>
        </w:rPr>
        <w:t>Guidance for officers.</w:t>
      </w:r>
      <w:proofErr w:type="gramEnd"/>
      <w:r>
        <w:rPr>
          <w:b/>
          <w:bCs/>
          <w:i/>
          <w:iCs/>
          <w:sz w:val="23"/>
          <w:szCs w:val="23"/>
        </w:rPr>
        <w:t xml:space="preserve"> </w:t>
      </w:r>
    </w:p>
    <w:p w:rsidR="004B20C5" w:rsidRDefault="004B20C5" w:rsidP="004B20C5">
      <w:pPr>
        <w:pStyle w:val="Default"/>
        <w:rPr>
          <w:sz w:val="23"/>
          <w:szCs w:val="23"/>
        </w:rPr>
      </w:pPr>
    </w:p>
    <w:p w:rsidR="004B20C5" w:rsidRDefault="004B20C5" w:rsidP="004B20C5">
      <w:pPr>
        <w:pStyle w:val="Default"/>
        <w:rPr>
          <w:rFonts w:ascii="Calibri" w:hAnsi="Calibri" w:cs="Calibri"/>
          <w:sz w:val="22"/>
          <w:szCs w:val="22"/>
        </w:rPr>
      </w:pPr>
      <w:r>
        <w:rPr>
          <w:sz w:val="22"/>
          <w:szCs w:val="22"/>
        </w:rPr>
        <w:t>Appendix 2 of this policy gives guidance to officers on how to make these decisions on the level of financial penalty under the 2016 Act.</w:t>
      </w:r>
    </w:p>
    <w:p w:rsidR="00686B17" w:rsidRDefault="004B20C5" w:rsidP="004B20C5">
      <w:pPr>
        <w:pStyle w:val="Default"/>
        <w:pageBreakBefore/>
        <w:rPr>
          <w:sz w:val="22"/>
          <w:szCs w:val="22"/>
        </w:rPr>
      </w:pPr>
      <w:r>
        <w:rPr>
          <w:sz w:val="22"/>
          <w:szCs w:val="22"/>
        </w:rPr>
        <w:lastRenderedPageBreak/>
        <w:t xml:space="preserve">Appendix 1 – List of Consultees </w:t>
      </w:r>
      <w:r w:rsidR="00686B17">
        <w:rPr>
          <w:sz w:val="22"/>
          <w:szCs w:val="22"/>
        </w:rPr>
        <w:t xml:space="preserve"> </w:t>
      </w:r>
    </w:p>
    <w:p w:rsidR="00686B17" w:rsidRDefault="00686B17" w:rsidP="004B20C5">
      <w:pPr>
        <w:pStyle w:val="Default"/>
        <w:rPr>
          <w:color w:val="FF0000"/>
          <w:sz w:val="20"/>
          <w:szCs w:val="20"/>
          <w:highlight w:val="yellow"/>
        </w:rPr>
      </w:pPr>
    </w:p>
    <w:p w:rsidR="00686B17" w:rsidRDefault="00686B17" w:rsidP="004B20C5">
      <w:pPr>
        <w:pStyle w:val="Default"/>
        <w:rPr>
          <w:color w:val="FF0000"/>
          <w:sz w:val="20"/>
          <w:szCs w:val="20"/>
          <w:highlight w:val="yellow"/>
        </w:rPr>
      </w:pPr>
    </w:p>
    <w:p w:rsidR="004B20C5" w:rsidRPr="00C665D4" w:rsidRDefault="004B20C5" w:rsidP="004B20C5">
      <w:pPr>
        <w:pStyle w:val="Default"/>
        <w:rPr>
          <w:color w:val="auto"/>
          <w:sz w:val="20"/>
          <w:szCs w:val="20"/>
        </w:rPr>
      </w:pPr>
      <w:r w:rsidRPr="00C665D4">
        <w:rPr>
          <w:color w:val="auto"/>
          <w:sz w:val="20"/>
          <w:szCs w:val="20"/>
        </w:rPr>
        <w:t xml:space="preserve">Association of Residential Letting Agents </w:t>
      </w:r>
    </w:p>
    <w:p w:rsidR="004B20C5" w:rsidRPr="00C665D4" w:rsidRDefault="00C665D4" w:rsidP="004B20C5">
      <w:pPr>
        <w:pStyle w:val="Default"/>
        <w:rPr>
          <w:color w:val="auto"/>
          <w:sz w:val="20"/>
          <w:szCs w:val="20"/>
        </w:rPr>
      </w:pPr>
      <w:r w:rsidRPr="00C665D4">
        <w:rPr>
          <w:color w:val="auto"/>
          <w:sz w:val="20"/>
          <w:szCs w:val="20"/>
        </w:rPr>
        <w:t>C</w:t>
      </w:r>
      <w:r w:rsidR="004B20C5" w:rsidRPr="00C665D4">
        <w:rPr>
          <w:color w:val="auto"/>
          <w:sz w:val="20"/>
          <w:szCs w:val="20"/>
        </w:rPr>
        <w:t xml:space="preserve">onsiderate/ National Accreditation Scheme </w:t>
      </w:r>
    </w:p>
    <w:p w:rsidR="004B20C5" w:rsidRPr="00C665D4" w:rsidRDefault="004B20C5" w:rsidP="004B20C5">
      <w:pPr>
        <w:pStyle w:val="Default"/>
        <w:rPr>
          <w:color w:val="auto"/>
          <w:sz w:val="20"/>
          <w:szCs w:val="20"/>
        </w:rPr>
      </w:pPr>
      <w:r w:rsidRPr="00C665D4">
        <w:rPr>
          <w:color w:val="auto"/>
          <w:sz w:val="20"/>
          <w:szCs w:val="20"/>
        </w:rPr>
        <w:t xml:space="preserve">Chartered Institute of Environmental Health </w:t>
      </w:r>
    </w:p>
    <w:p w:rsidR="004B20C5" w:rsidRPr="00C665D4" w:rsidRDefault="004B20C5" w:rsidP="004B20C5">
      <w:pPr>
        <w:pStyle w:val="Default"/>
        <w:rPr>
          <w:color w:val="auto"/>
          <w:sz w:val="20"/>
          <w:szCs w:val="20"/>
        </w:rPr>
      </w:pPr>
      <w:r w:rsidRPr="00C665D4">
        <w:rPr>
          <w:color w:val="auto"/>
          <w:sz w:val="20"/>
          <w:szCs w:val="20"/>
        </w:rPr>
        <w:t xml:space="preserve">Citizens Advice Bureaux </w:t>
      </w:r>
    </w:p>
    <w:p w:rsidR="004B20C5" w:rsidRPr="00C665D4" w:rsidRDefault="004B20C5" w:rsidP="004B20C5">
      <w:pPr>
        <w:pStyle w:val="Default"/>
        <w:rPr>
          <w:color w:val="auto"/>
          <w:sz w:val="20"/>
          <w:szCs w:val="20"/>
        </w:rPr>
      </w:pPr>
      <w:r w:rsidRPr="00C665D4">
        <w:rPr>
          <w:color w:val="auto"/>
          <w:sz w:val="20"/>
          <w:szCs w:val="20"/>
        </w:rPr>
        <w:t xml:space="preserve">National Landlord Association </w:t>
      </w:r>
    </w:p>
    <w:p w:rsidR="004B20C5" w:rsidRPr="00C665D4" w:rsidRDefault="004B20C5" w:rsidP="004B20C5">
      <w:pPr>
        <w:pStyle w:val="Default"/>
        <w:rPr>
          <w:color w:val="auto"/>
          <w:sz w:val="20"/>
          <w:szCs w:val="20"/>
        </w:rPr>
      </w:pPr>
      <w:r w:rsidRPr="00C665D4">
        <w:rPr>
          <w:color w:val="auto"/>
          <w:sz w:val="20"/>
          <w:szCs w:val="20"/>
        </w:rPr>
        <w:t xml:space="preserve">National Approved Letting Scheme </w:t>
      </w:r>
    </w:p>
    <w:p w:rsidR="004B20C5" w:rsidRPr="00C665D4" w:rsidRDefault="004B20C5" w:rsidP="004B20C5">
      <w:pPr>
        <w:pStyle w:val="Default"/>
        <w:rPr>
          <w:color w:val="auto"/>
          <w:sz w:val="20"/>
          <w:szCs w:val="20"/>
        </w:rPr>
      </w:pPr>
      <w:r w:rsidRPr="00C665D4">
        <w:rPr>
          <w:color w:val="auto"/>
          <w:sz w:val="20"/>
          <w:szCs w:val="20"/>
        </w:rPr>
        <w:t xml:space="preserve">Residential Landlord Association </w:t>
      </w:r>
    </w:p>
    <w:p w:rsidR="004B20C5" w:rsidRPr="00C665D4" w:rsidRDefault="004B20C5" w:rsidP="004B20C5">
      <w:pPr>
        <w:pStyle w:val="Default"/>
        <w:rPr>
          <w:color w:val="auto"/>
          <w:sz w:val="20"/>
          <w:szCs w:val="20"/>
        </w:rPr>
      </w:pPr>
      <w:r w:rsidRPr="00C665D4">
        <w:rPr>
          <w:color w:val="auto"/>
          <w:sz w:val="20"/>
          <w:szCs w:val="20"/>
        </w:rPr>
        <w:t xml:space="preserve">Royal Institutions of Chartered Surveyors </w:t>
      </w:r>
    </w:p>
    <w:p w:rsidR="004B20C5" w:rsidRPr="00C665D4" w:rsidRDefault="004B20C5" w:rsidP="004B20C5">
      <w:pPr>
        <w:pStyle w:val="Default"/>
        <w:rPr>
          <w:color w:val="auto"/>
          <w:sz w:val="20"/>
          <w:szCs w:val="20"/>
        </w:rPr>
      </w:pPr>
      <w:r w:rsidRPr="00C665D4">
        <w:rPr>
          <w:color w:val="auto"/>
          <w:sz w:val="20"/>
          <w:szCs w:val="20"/>
        </w:rPr>
        <w:t xml:space="preserve">SARI </w:t>
      </w:r>
    </w:p>
    <w:p w:rsidR="004B20C5" w:rsidRPr="00C665D4" w:rsidRDefault="004B20C5" w:rsidP="004B20C5">
      <w:pPr>
        <w:pStyle w:val="Default"/>
        <w:rPr>
          <w:color w:val="auto"/>
          <w:sz w:val="20"/>
          <w:szCs w:val="20"/>
        </w:rPr>
      </w:pPr>
      <w:r w:rsidRPr="00C665D4">
        <w:rPr>
          <w:color w:val="auto"/>
          <w:sz w:val="20"/>
          <w:szCs w:val="20"/>
        </w:rPr>
        <w:t xml:space="preserve">Shelter </w:t>
      </w:r>
    </w:p>
    <w:p w:rsidR="004B20C5" w:rsidRPr="00C665D4" w:rsidRDefault="004B20C5" w:rsidP="004B20C5">
      <w:pPr>
        <w:pStyle w:val="Default"/>
        <w:rPr>
          <w:color w:val="auto"/>
          <w:sz w:val="20"/>
          <w:szCs w:val="20"/>
        </w:rPr>
      </w:pPr>
      <w:r w:rsidRPr="00C665D4">
        <w:rPr>
          <w:color w:val="auto"/>
          <w:sz w:val="20"/>
          <w:szCs w:val="20"/>
        </w:rPr>
        <w:t xml:space="preserve">Local Government Association </w:t>
      </w:r>
    </w:p>
    <w:p w:rsidR="00686B17" w:rsidRPr="00C665D4" w:rsidRDefault="00686B17" w:rsidP="004B20C5">
      <w:pPr>
        <w:pStyle w:val="Default"/>
        <w:rPr>
          <w:b/>
          <w:bCs/>
          <w:color w:val="auto"/>
          <w:sz w:val="20"/>
          <w:szCs w:val="20"/>
        </w:rPr>
      </w:pPr>
    </w:p>
    <w:p w:rsidR="004B20C5" w:rsidRPr="00C665D4" w:rsidRDefault="004B20C5" w:rsidP="004B20C5">
      <w:pPr>
        <w:pStyle w:val="Default"/>
        <w:rPr>
          <w:color w:val="auto"/>
          <w:sz w:val="20"/>
          <w:szCs w:val="20"/>
        </w:rPr>
      </w:pPr>
      <w:r w:rsidRPr="00C665D4">
        <w:rPr>
          <w:b/>
          <w:bCs/>
          <w:color w:val="auto"/>
          <w:sz w:val="20"/>
          <w:szCs w:val="20"/>
        </w:rPr>
        <w:t xml:space="preserve">Local </w:t>
      </w:r>
      <w:proofErr w:type="gramStart"/>
      <w:r w:rsidRPr="00C665D4">
        <w:rPr>
          <w:b/>
          <w:bCs/>
          <w:color w:val="auto"/>
          <w:sz w:val="20"/>
          <w:szCs w:val="20"/>
        </w:rPr>
        <w:t>Authorities :</w:t>
      </w:r>
      <w:proofErr w:type="gramEnd"/>
      <w:r w:rsidRPr="00C665D4">
        <w:rPr>
          <w:b/>
          <w:bCs/>
          <w:color w:val="auto"/>
          <w:sz w:val="20"/>
          <w:szCs w:val="20"/>
        </w:rPr>
        <w:t xml:space="preserve"> </w:t>
      </w:r>
    </w:p>
    <w:p w:rsidR="004B20C5" w:rsidRPr="00C665D4" w:rsidRDefault="004B20C5" w:rsidP="004B20C5">
      <w:pPr>
        <w:pStyle w:val="Default"/>
        <w:rPr>
          <w:color w:val="auto"/>
          <w:sz w:val="20"/>
          <w:szCs w:val="20"/>
        </w:rPr>
      </w:pPr>
      <w:r w:rsidRPr="00C665D4">
        <w:rPr>
          <w:color w:val="auto"/>
          <w:sz w:val="20"/>
          <w:szCs w:val="20"/>
        </w:rPr>
        <w:t xml:space="preserve">Bath and North East Somerset </w:t>
      </w:r>
    </w:p>
    <w:p w:rsidR="004B20C5" w:rsidRPr="00C665D4" w:rsidRDefault="004B20C5" w:rsidP="004B20C5">
      <w:pPr>
        <w:pStyle w:val="Default"/>
        <w:rPr>
          <w:color w:val="auto"/>
          <w:sz w:val="20"/>
          <w:szCs w:val="20"/>
        </w:rPr>
      </w:pPr>
      <w:r w:rsidRPr="00C665D4">
        <w:rPr>
          <w:color w:val="auto"/>
          <w:sz w:val="20"/>
          <w:szCs w:val="20"/>
        </w:rPr>
        <w:t xml:space="preserve">North Somerset </w:t>
      </w:r>
    </w:p>
    <w:p w:rsidR="004B20C5" w:rsidRPr="00C665D4" w:rsidRDefault="004B20C5" w:rsidP="004B20C5">
      <w:pPr>
        <w:pStyle w:val="Default"/>
        <w:rPr>
          <w:color w:val="auto"/>
          <w:sz w:val="20"/>
          <w:szCs w:val="20"/>
        </w:rPr>
      </w:pPr>
      <w:r w:rsidRPr="00C665D4">
        <w:rPr>
          <w:color w:val="auto"/>
          <w:sz w:val="20"/>
          <w:szCs w:val="20"/>
        </w:rPr>
        <w:t xml:space="preserve">Leeds </w:t>
      </w:r>
    </w:p>
    <w:p w:rsidR="004B20C5" w:rsidRPr="00C665D4" w:rsidRDefault="004B20C5" w:rsidP="004B20C5">
      <w:pPr>
        <w:pStyle w:val="Default"/>
        <w:rPr>
          <w:color w:val="auto"/>
          <w:sz w:val="20"/>
          <w:szCs w:val="20"/>
        </w:rPr>
      </w:pPr>
      <w:r w:rsidRPr="00C665D4">
        <w:rPr>
          <w:color w:val="auto"/>
          <w:sz w:val="20"/>
          <w:szCs w:val="20"/>
        </w:rPr>
        <w:t xml:space="preserve">Oxford </w:t>
      </w:r>
    </w:p>
    <w:p w:rsidR="004B20C5" w:rsidRPr="00C665D4" w:rsidRDefault="004B20C5" w:rsidP="004B20C5">
      <w:pPr>
        <w:pStyle w:val="Default"/>
        <w:rPr>
          <w:rFonts w:ascii="Calibri" w:hAnsi="Calibri" w:cs="Calibri"/>
          <w:color w:val="auto"/>
          <w:sz w:val="22"/>
          <w:szCs w:val="22"/>
        </w:rPr>
      </w:pPr>
      <w:r w:rsidRPr="00C665D4">
        <w:rPr>
          <w:color w:val="auto"/>
          <w:sz w:val="20"/>
          <w:szCs w:val="20"/>
        </w:rPr>
        <w:t xml:space="preserve">South Gloucestershire </w:t>
      </w:r>
    </w:p>
    <w:p w:rsidR="004B20C5" w:rsidRDefault="004B20C5" w:rsidP="004B20C5">
      <w:pPr>
        <w:pStyle w:val="Default"/>
        <w:pageBreakBefore/>
        <w:rPr>
          <w:sz w:val="23"/>
          <w:szCs w:val="23"/>
        </w:rPr>
      </w:pPr>
      <w:r>
        <w:rPr>
          <w:b/>
          <w:bCs/>
          <w:i/>
          <w:iCs/>
          <w:sz w:val="23"/>
          <w:szCs w:val="23"/>
        </w:rPr>
        <w:lastRenderedPageBreak/>
        <w:t xml:space="preserve">Appendix 2 - </w:t>
      </w:r>
      <w:r w:rsidR="00B25230">
        <w:rPr>
          <w:b/>
          <w:bCs/>
          <w:i/>
          <w:iCs/>
          <w:sz w:val="23"/>
          <w:szCs w:val="23"/>
        </w:rPr>
        <w:t>Oadby and Wigston Borough</w:t>
      </w:r>
      <w:r>
        <w:rPr>
          <w:b/>
          <w:bCs/>
          <w:i/>
          <w:iCs/>
          <w:sz w:val="23"/>
          <w:szCs w:val="23"/>
        </w:rPr>
        <w:t xml:space="preserve"> Council process for determining the level of penalty to set - </w:t>
      </w:r>
    </w:p>
    <w:p w:rsidR="004B20C5" w:rsidRDefault="004B20C5" w:rsidP="004B20C5">
      <w:pPr>
        <w:pStyle w:val="Default"/>
        <w:rPr>
          <w:i/>
          <w:iCs/>
          <w:sz w:val="23"/>
          <w:szCs w:val="23"/>
        </w:rPr>
      </w:pPr>
    </w:p>
    <w:p w:rsidR="004B20C5" w:rsidRDefault="004B20C5" w:rsidP="004B20C5">
      <w:pPr>
        <w:pStyle w:val="Default"/>
        <w:rPr>
          <w:sz w:val="23"/>
          <w:szCs w:val="23"/>
        </w:rPr>
      </w:pPr>
      <w:r>
        <w:rPr>
          <w:i/>
          <w:iCs/>
          <w:sz w:val="23"/>
          <w:szCs w:val="23"/>
        </w:rPr>
        <w:t xml:space="preserve">Schedule 9, Housing and Planning Act 2016 </w:t>
      </w:r>
    </w:p>
    <w:p w:rsidR="004B20C5" w:rsidRDefault="004B20C5" w:rsidP="004B20C5">
      <w:pPr>
        <w:pStyle w:val="Default"/>
        <w:rPr>
          <w:b/>
          <w:bCs/>
          <w:sz w:val="28"/>
          <w:szCs w:val="28"/>
        </w:rPr>
      </w:pPr>
    </w:p>
    <w:p w:rsidR="004B20C5" w:rsidRDefault="004B20C5" w:rsidP="004B20C5">
      <w:pPr>
        <w:pStyle w:val="Default"/>
        <w:rPr>
          <w:sz w:val="28"/>
          <w:szCs w:val="28"/>
        </w:rPr>
      </w:pPr>
      <w:proofErr w:type="gramStart"/>
      <w:r>
        <w:rPr>
          <w:b/>
          <w:bCs/>
          <w:sz w:val="28"/>
          <w:szCs w:val="28"/>
        </w:rPr>
        <w:t>STEP</w:t>
      </w:r>
      <w:proofErr w:type="gramEnd"/>
      <w:r>
        <w:rPr>
          <w:b/>
          <w:bCs/>
          <w:sz w:val="28"/>
          <w:szCs w:val="28"/>
        </w:rPr>
        <w:t xml:space="preserve"> ONE – Determining the offence category </w:t>
      </w:r>
    </w:p>
    <w:p w:rsidR="004B20C5" w:rsidRDefault="004B20C5" w:rsidP="004B20C5">
      <w:pPr>
        <w:pStyle w:val="Default"/>
        <w:rPr>
          <w:sz w:val="22"/>
          <w:szCs w:val="22"/>
        </w:rPr>
      </w:pPr>
    </w:p>
    <w:p w:rsidR="004B20C5" w:rsidRDefault="004B20C5" w:rsidP="004B20C5">
      <w:pPr>
        <w:pStyle w:val="Default"/>
        <w:rPr>
          <w:sz w:val="22"/>
          <w:szCs w:val="22"/>
        </w:rPr>
      </w:pPr>
      <w:r>
        <w:rPr>
          <w:sz w:val="22"/>
          <w:szCs w:val="22"/>
        </w:rPr>
        <w:t xml:space="preserve">The Council will determine the offence category using only the </w:t>
      </w:r>
      <w:r>
        <w:rPr>
          <w:b/>
          <w:bCs/>
          <w:i/>
          <w:iCs/>
          <w:sz w:val="22"/>
          <w:szCs w:val="22"/>
        </w:rPr>
        <w:t xml:space="preserve">culpability </w:t>
      </w:r>
      <w:r>
        <w:rPr>
          <w:sz w:val="22"/>
          <w:szCs w:val="22"/>
        </w:rPr>
        <w:t xml:space="preserve">and </w:t>
      </w:r>
      <w:r>
        <w:rPr>
          <w:b/>
          <w:bCs/>
          <w:i/>
          <w:iCs/>
          <w:sz w:val="22"/>
          <w:szCs w:val="22"/>
        </w:rPr>
        <w:t xml:space="preserve">harm </w:t>
      </w:r>
      <w:r>
        <w:rPr>
          <w:sz w:val="22"/>
          <w:szCs w:val="22"/>
        </w:rPr>
        <w:t xml:space="preserve">factors in the tables below. Where an offence does not fall squarely into a category, individual factors may require a degree of weighting to make an overall assessment. </w:t>
      </w:r>
    </w:p>
    <w:p w:rsidR="004B20C5" w:rsidRDefault="004B20C5" w:rsidP="004B20C5">
      <w:pPr>
        <w:pStyle w:val="Default"/>
        <w:rPr>
          <w:b/>
          <w:bCs/>
          <w:sz w:val="22"/>
          <w:szCs w:val="22"/>
        </w:rPr>
      </w:pPr>
    </w:p>
    <w:p w:rsidR="004B20C5" w:rsidRDefault="004B20C5" w:rsidP="004B20C5">
      <w:pPr>
        <w:pStyle w:val="Default"/>
        <w:rPr>
          <w:sz w:val="22"/>
          <w:szCs w:val="22"/>
        </w:rPr>
      </w:pPr>
      <w:r>
        <w:rPr>
          <w:b/>
          <w:bCs/>
          <w:sz w:val="22"/>
          <w:szCs w:val="22"/>
        </w:rPr>
        <w:t xml:space="preserve">Culpability </w:t>
      </w:r>
    </w:p>
    <w:p w:rsidR="004B20C5" w:rsidRDefault="004B20C5" w:rsidP="004B20C5">
      <w:pPr>
        <w:pStyle w:val="Default"/>
        <w:rPr>
          <w:i/>
          <w:iCs/>
          <w:sz w:val="22"/>
          <w:szCs w:val="22"/>
        </w:rPr>
      </w:pPr>
    </w:p>
    <w:p w:rsidR="004B20C5" w:rsidRDefault="004B20C5" w:rsidP="004B20C5">
      <w:pPr>
        <w:pStyle w:val="Default"/>
        <w:rPr>
          <w:sz w:val="22"/>
          <w:szCs w:val="22"/>
        </w:rPr>
      </w:pPr>
      <w:r>
        <w:rPr>
          <w:i/>
          <w:iCs/>
          <w:sz w:val="22"/>
          <w:szCs w:val="22"/>
        </w:rPr>
        <w:t xml:space="preserve">Very high </w:t>
      </w:r>
    </w:p>
    <w:p w:rsidR="004B20C5" w:rsidRDefault="004B20C5" w:rsidP="00E015D5">
      <w:pPr>
        <w:pStyle w:val="Default"/>
        <w:numPr>
          <w:ilvl w:val="0"/>
          <w:numId w:val="1"/>
        </w:numPr>
        <w:rPr>
          <w:sz w:val="22"/>
          <w:szCs w:val="22"/>
        </w:rPr>
      </w:pPr>
      <w:r>
        <w:rPr>
          <w:sz w:val="22"/>
          <w:szCs w:val="22"/>
        </w:rPr>
        <w:t xml:space="preserve">Where the offender intentionally breached, or flagrantly disregarded, the law or </w:t>
      </w:r>
    </w:p>
    <w:p w:rsidR="004B20C5" w:rsidRDefault="004B20C5" w:rsidP="00E015D5">
      <w:pPr>
        <w:pStyle w:val="Default"/>
        <w:numPr>
          <w:ilvl w:val="0"/>
          <w:numId w:val="1"/>
        </w:numPr>
        <w:rPr>
          <w:sz w:val="22"/>
          <w:szCs w:val="22"/>
        </w:rPr>
      </w:pPr>
      <w:r>
        <w:rPr>
          <w:sz w:val="22"/>
          <w:szCs w:val="22"/>
        </w:rPr>
        <w:t xml:space="preserve">Who has a high public profile and knew their actions were unlawful </w:t>
      </w:r>
    </w:p>
    <w:p w:rsidR="004B20C5" w:rsidRDefault="004B20C5" w:rsidP="004B20C5">
      <w:pPr>
        <w:pStyle w:val="Default"/>
        <w:rPr>
          <w:i/>
          <w:iCs/>
          <w:sz w:val="22"/>
          <w:szCs w:val="22"/>
        </w:rPr>
      </w:pPr>
    </w:p>
    <w:p w:rsidR="004B20C5" w:rsidRDefault="004B20C5" w:rsidP="004B20C5">
      <w:pPr>
        <w:pStyle w:val="Default"/>
        <w:rPr>
          <w:sz w:val="22"/>
          <w:szCs w:val="22"/>
        </w:rPr>
      </w:pPr>
      <w:r>
        <w:rPr>
          <w:i/>
          <w:iCs/>
          <w:sz w:val="22"/>
          <w:szCs w:val="22"/>
        </w:rPr>
        <w:t xml:space="preserve">High </w:t>
      </w:r>
    </w:p>
    <w:p w:rsidR="00E015D5" w:rsidRDefault="00E015D5" w:rsidP="004B20C5">
      <w:pPr>
        <w:pStyle w:val="Default"/>
        <w:rPr>
          <w:sz w:val="22"/>
          <w:szCs w:val="22"/>
        </w:rPr>
      </w:pPr>
    </w:p>
    <w:p w:rsidR="004B20C5" w:rsidRDefault="004B20C5" w:rsidP="00E015D5">
      <w:pPr>
        <w:pStyle w:val="Default"/>
        <w:numPr>
          <w:ilvl w:val="0"/>
          <w:numId w:val="2"/>
        </w:numPr>
        <w:rPr>
          <w:sz w:val="22"/>
          <w:szCs w:val="22"/>
        </w:rPr>
      </w:pPr>
      <w:r>
        <w:rPr>
          <w:sz w:val="22"/>
          <w:szCs w:val="22"/>
        </w:rPr>
        <w:t xml:space="preserve">Actual foresight of, or wilful blindness to, risk of offending but risk nevertheless taken </w:t>
      </w:r>
    </w:p>
    <w:p w:rsidR="004B20C5" w:rsidRDefault="004B20C5" w:rsidP="004B20C5">
      <w:pPr>
        <w:pStyle w:val="Default"/>
        <w:rPr>
          <w:i/>
          <w:iCs/>
          <w:sz w:val="22"/>
          <w:szCs w:val="22"/>
        </w:rPr>
      </w:pPr>
    </w:p>
    <w:p w:rsidR="004B20C5" w:rsidRDefault="004B20C5" w:rsidP="004B20C5">
      <w:pPr>
        <w:pStyle w:val="Default"/>
        <w:rPr>
          <w:sz w:val="22"/>
          <w:szCs w:val="22"/>
        </w:rPr>
      </w:pPr>
      <w:r>
        <w:rPr>
          <w:i/>
          <w:iCs/>
          <w:sz w:val="22"/>
          <w:szCs w:val="22"/>
        </w:rPr>
        <w:t xml:space="preserve">Medium </w:t>
      </w:r>
    </w:p>
    <w:p w:rsidR="00E015D5" w:rsidRDefault="00E015D5" w:rsidP="004B20C5">
      <w:pPr>
        <w:pStyle w:val="Default"/>
        <w:rPr>
          <w:sz w:val="22"/>
          <w:szCs w:val="22"/>
        </w:rPr>
      </w:pPr>
    </w:p>
    <w:p w:rsidR="004B20C5" w:rsidRDefault="004B20C5" w:rsidP="00E015D5">
      <w:pPr>
        <w:pStyle w:val="Default"/>
        <w:numPr>
          <w:ilvl w:val="0"/>
          <w:numId w:val="2"/>
        </w:numPr>
        <w:rPr>
          <w:sz w:val="22"/>
          <w:szCs w:val="22"/>
        </w:rPr>
      </w:pPr>
      <w:r>
        <w:rPr>
          <w:sz w:val="22"/>
          <w:szCs w:val="22"/>
        </w:rPr>
        <w:t xml:space="preserve">Offence committed through act or omission which a person exercising reasonable care would not commit </w:t>
      </w:r>
    </w:p>
    <w:p w:rsidR="004B20C5" w:rsidRDefault="004B20C5" w:rsidP="004B20C5">
      <w:pPr>
        <w:pStyle w:val="Default"/>
        <w:rPr>
          <w:i/>
          <w:iCs/>
          <w:sz w:val="22"/>
          <w:szCs w:val="22"/>
        </w:rPr>
      </w:pPr>
    </w:p>
    <w:p w:rsidR="004B20C5" w:rsidRDefault="004B20C5" w:rsidP="004B20C5">
      <w:pPr>
        <w:pStyle w:val="Default"/>
        <w:rPr>
          <w:sz w:val="22"/>
          <w:szCs w:val="22"/>
        </w:rPr>
      </w:pPr>
      <w:r>
        <w:rPr>
          <w:i/>
          <w:iCs/>
          <w:sz w:val="22"/>
          <w:szCs w:val="22"/>
        </w:rPr>
        <w:t xml:space="preserve">Low </w:t>
      </w:r>
    </w:p>
    <w:p w:rsidR="00E015D5" w:rsidRDefault="00E015D5" w:rsidP="004B20C5">
      <w:pPr>
        <w:pStyle w:val="Default"/>
        <w:rPr>
          <w:sz w:val="22"/>
          <w:szCs w:val="22"/>
        </w:rPr>
      </w:pPr>
    </w:p>
    <w:p w:rsidR="004B20C5" w:rsidRDefault="004B20C5" w:rsidP="004B20C5">
      <w:pPr>
        <w:pStyle w:val="Default"/>
        <w:rPr>
          <w:sz w:val="22"/>
          <w:szCs w:val="22"/>
        </w:rPr>
      </w:pPr>
      <w:r>
        <w:rPr>
          <w:sz w:val="22"/>
          <w:szCs w:val="22"/>
        </w:rPr>
        <w:t xml:space="preserve">Offence committed with little fault, for example, because: </w:t>
      </w:r>
    </w:p>
    <w:p w:rsidR="00E015D5" w:rsidRDefault="00E015D5" w:rsidP="004B20C5">
      <w:pPr>
        <w:pStyle w:val="Default"/>
        <w:rPr>
          <w:sz w:val="22"/>
          <w:szCs w:val="22"/>
        </w:rPr>
      </w:pPr>
    </w:p>
    <w:p w:rsidR="004B20C5" w:rsidRDefault="004B20C5" w:rsidP="00E015D5">
      <w:pPr>
        <w:pStyle w:val="Default"/>
        <w:numPr>
          <w:ilvl w:val="0"/>
          <w:numId w:val="2"/>
        </w:numPr>
        <w:rPr>
          <w:sz w:val="22"/>
          <w:szCs w:val="22"/>
        </w:rPr>
      </w:pPr>
      <w:r>
        <w:rPr>
          <w:sz w:val="22"/>
          <w:szCs w:val="22"/>
        </w:rPr>
        <w:t xml:space="preserve">significant efforts were made to address the risk although they were inadequate on this occasion </w:t>
      </w:r>
    </w:p>
    <w:p w:rsidR="004B20C5" w:rsidRDefault="004B20C5" w:rsidP="00E015D5">
      <w:pPr>
        <w:pStyle w:val="Default"/>
        <w:numPr>
          <w:ilvl w:val="0"/>
          <w:numId w:val="2"/>
        </w:numPr>
        <w:rPr>
          <w:sz w:val="22"/>
          <w:szCs w:val="22"/>
        </w:rPr>
      </w:pPr>
      <w:r>
        <w:rPr>
          <w:sz w:val="22"/>
          <w:szCs w:val="22"/>
        </w:rPr>
        <w:t xml:space="preserve">there was no warning/circumstance indicating a risk </w:t>
      </w:r>
    </w:p>
    <w:p w:rsidR="004B20C5" w:rsidRDefault="004B20C5" w:rsidP="00E015D5">
      <w:pPr>
        <w:pStyle w:val="Default"/>
        <w:numPr>
          <w:ilvl w:val="0"/>
          <w:numId w:val="2"/>
        </w:numPr>
        <w:rPr>
          <w:sz w:val="22"/>
          <w:szCs w:val="22"/>
        </w:rPr>
      </w:pPr>
      <w:r>
        <w:rPr>
          <w:sz w:val="22"/>
          <w:szCs w:val="22"/>
        </w:rPr>
        <w:t xml:space="preserve">failings were minor and occurred as an isolated incident </w:t>
      </w:r>
    </w:p>
    <w:p w:rsidR="004B20C5" w:rsidRDefault="004B20C5" w:rsidP="004B20C5">
      <w:pPr>
        <w:pStyle w:val="Default"/>
        <w:rPr>
          <w:sz w:val="22"/>
          <w:szCs w:val="22"/>
        </w:rPr>
      </w:pPr>
    </w:p>
    <w:p w:rsidR="004B20C5" w:rsidRDefault="004B20C5" w:rsidP="004B20C5">
      <w:pPr>
        <w:pStyle w:val="Default"/>
        <w:rPr>
          <w:sz w:val="22"/>
          <w:szCs w:val="22"/>
        </w:rPr>
      </w:pPr>
      <w:r>
        <w:rPr>
          <w:b/>
          <w:bCs/>
          <w:sz w:val="22"/>
          <w:szCs w:val="22"/>
        </w:rPr>
        <w:t xml:space="preserve">Harm </w:t>
      </w:r>
    </w:p>
    <w:p w:rsidR="004B20C5" w:rsidRDefault="004B20C5" w:rsidP="004B20C5">
      <w:pPr>
        <w:pStyle w:val="Default"/>
        <w:rPr>
          <w:sz w:val="22"/>
          <w:szCs w:val="22"/>
        </w:rPr>
      </w:pPr>
    </w:p>
    <w:p w:rsidR="004B20C5" w:rsidRDefault="004B20C5" w:rsidP="004B20C5">
      <w:pPr>
        <w:pStyle w:val="Default"/>
        <w:rPr>
          <w:sz w:val="22"/>
          <w:szCs w:val="22"/>
        </w:rPr>
      </w:pPr>
      <w:r>
        <w:rPr>
          <w:sz w:val="22"/>
          <w:szCs w:val="22"/>
        </w:rPr>
        <w:t xml:space="preserve">The table below contains factors relating to both actual harm and risk of harm. Dealing with a risk of harm involves consideration of both the likelihood of harm occurring and the extent of it if it does. </w:t>
      </w:r>
    </w:p>
    <w:p w:rsidR="004B20C5" w:rsidRDefault="004B20C5" w:rsidP="004B20C5">
      <w:pPr>
        <w:pStyle w:val="Default"/>
        <w:rPr>
          <w:i/>
          <w:iCs/>
          <w:sz w:val="22"/>
          <w:szCs w:val="22"/>
        </w:rPr>
      </w:pPr>
    </w:p>
    <w:p w:rsidR="004B20C5" w:rsidRDefault="004B20C5" w:rsidP="004B20C5">
      <w:pPr>
        <w:pStyle w:val="Default"/>
        <w:rPr>
          <w:sz w:val="22"/>
          <w:szCs w:val="22"/>
        </w:rPr>
      </w:pPr>
      <w:r>
        <w:rPr>
          <w:i/>
          <w:iCs/>
          <w:sz w:val="22"/>
          <w:szCs w:val="22"/>
        </w:rPr>
        <w:t xml:space="preserve">Category 1 – High Likelihood of Harm </w:t>
      </w:r>
    </w:p>
    <w:p w:rsidR="004B20C5" w:rsidRDefault="004B20C5" w:rsidP="004B20C5">
      <w:pPr>
        <w:pStyle w:val="Default"/>
        <w:rPr>
          <w:rFonts w:ascii="Wingdings" w:hAnsi="Wingdings" w:cs="Wingdings"/>
          <w:sz w:val="22"/>
          <w:szCs w:val="22"/>
        </w:rPr>
      </w:pPr>
    </w:p>
    <w:p w:rsidR="004B20C5" w:rsidRDefault="004B20C5" w:rsidP="00E015D5">
      <w:pPr>
        <w:pStyle w:val="Default"/>
        <w:numPr>
          <w:ilvl w:val="0"/>
          <w:numId w:val="3"/>
        </w:numPr>
        <w:rPr>
          <w:sz w:val="22"/>
          <w:szCs w:val="22"/>
        </w:rPr>
      </w:pPr>
      <w:r>
        <w:rPr>
          <w:sz w:val="22"/>
          <w:szCs w:val="22"/>
        </w:rPr>
        <w:t xml:space="preserve">Serious adverse effect(s) on individual(s) and/or having a widespread impact </w:t>
      </w:r>
    </w:p>
    <w:p w:rsidR="004B20C5" w:rsidRDefault="004B20C5" w:rsidP="00E015D5">
      <w:pPr>
        <w:pStyle w:val="Default"/>
        <w:numPr>
          <w:ilvl w:val="0"/>
          <w:numId w:val="3"/>
        </w:numPr>
        <w:rPr>
          <w:sz w:val="14"/>
          <w:szCs w:val="14"/>
        </w:rPr>
      </w:pPr>
      <w:r>
        <w:rPr>
          <w:sz w:val="22"/>
          <w:szCs w:val="22"/>
        </w:rPr>
        <w:t>High risk of an adverse effect on individual(s) – including where persons are vulnerable</w:t>
      </w:r>
      <w:r w:rsidR="00441FDD">
        <w:rPr>
          <w:rStyle w:val="FootnoteReference"/>
          <w:sz w:val="22"/>
          <w:szCs w:val="22"/>
        </w:rPr>
        <w:footnoteReference w:id="1"/>
      </w:r>
      <w:r>
        <w:rPr>
          <w:sz w:val="14"/>
          <w:szCs w:val="14"/>
        </w:rPr>
        <w:t xml:space="preserve"> </w:t>
      </w:r>
    </w:p>
    <w:p w:rsidR="004B20C5" w:rsidRDefault="004B20C5" w:rsidP="004B20C5">
      <w:pPr>
        <w:pStyle w:val="Default"/>
        <w:rPr>
          <w:sz w:val="14"/>
          <w:szCs w:val="14"/>
        </w:rPr>
      </w:pPr>
    </w:p>
    <w:p w:rsidR="004B20C5" w:rsidRDefault="004B20C5" w:rsidP="004B20C5">
      <w:pPr>
        <w:pStyle w:val="Default"/>
        <w:rPr>
          <w:sz w:val="22"/>
          <w:szCs w:val="22"/>
        </w:rPr>
      </w:pPr>
      <w:r>
        <w:rPr>
          <w:rFonts w:ascii="Calibri" w:hAnsi="Calibri" w:cs="Calibri"/>
          <w:sz w:val="13"/>
          <w:szCs w:val="13"/>
        </w:rPr>
        <w:t xml:space="preserve">1 </w:t>
      </w:r>
      <w:r>
        <w:rPr>
          <w:i/>
          <w:iCs/>
          <w:sz w:val="22"/>
          <w:szCs w:val="22"/>
        </w:rPr>
        <w:t xml:space="preserve">Category 2 – Medium Likelihood of Harm </w:t>
      </w:r>
    </w:p>
    <w:p w:rsidR="004B20C5" w:rsidRDefault="004B20C5" w:rsidP="004B20C5">
      <w:pPr>
        <w:pStyle w:val="Default"/>
        <w:rPr>
          <w:rFonts w:ascii="Wingdings" w:hAnsi="Wingdings" w:cs="Wingdings"/>
          <w:sz w:val="22"/>
          <w:szCs w:val="22"/>
        </w:rPr>
      </w:pPr>
    </w:p>
    <w:p w:rsidR="004B20C5" w:rsidRDefault="004B20C5" w:rsidP="00E015D5">
      <w:pPr>
        <w:pStyle w:val="Default"/>
        <w:numPr>
          <w:ilvl w:val="0"/>
          <w:numId w:val="4"/>
        </w:numPr>
        <w:rPr>
          <w:sz w:val="22"/>
          <w:szCs w:val="22"/>
        </w:rPr>
      </w:pPr>
      <w:r>
        <w:rPr>
          <w:sz w:val="22"/>
          <w:szCs w:val="22"/>
        </w:rPr>
        <w:t xml:space="preserve">Adverse effect on individual(s) (not amounting to Category 1) </w:t>
      </w:r>
    </w:p>
    <w:p w:rsidR="004B20C5" w:rsidRDefault="004B20C5" w:rsidP="00E015D5">
      <w:pPr>
        <w:pStyle w:val="Default"/>
        <w:numPr>
          <w:ilvl w:val="0"/>
          <w:numId w:val="4"/>
        </w:numPr>
        <w:rPr>
          <w:sz w:val="22"/>
          <w:szCs w:val="22"/>
        </w:rPr>
      </w:pPr>
      <w:r>
        <w:rPr>
          <w:sz w:val="22"/>
          <w:szCs w:val="22"/>
        </w:rPr>
        <w:lastRenderedPageBreak/>
        <w:t xml:space="preserve">Medium risk of an adverse effect on individual(s) or low risk of serious adverse effect </w:t>
      </w:r>
    </w:p>
    <w:p w:rsidR="004B20C5" w:rsidRDefault="004B20C5" w:rsidP="00E015D5">
      <w:pPr>
        <w:pStyle w:val="Default"/>
        <w:numPr>
          <w:ilvl w:val="0"/>
          <w:numId w:val="4"/>
        </w:numPr>
        <w:rPr>
          <w:sz w:val="22"/>
          <w:szCs w:val="22"/>
        </w:rPr>
      </w:pPr>
      <w:r>
        <w:rPr>
          <w:sz w:val="22"/>
          <w:szCs w:val="22"/>
        </w:rPr>
        <w:t xml:space="preserve">The Council and/or legitimate landlords or agents substantially undermined by offender’s activities </w:t>
      </w:r>
    </w:p>
    <w:p w:rsidR="004B20C5" w:rsidRDefault="004B20C5" w:rsidP="00E015D5">
      <w:pPr>
        <w:pStyle w:val="Default"/>
        <w:numPr>
          <w:ilvl w:val="0"/>
          <w:numId w:val="4"/>
        </w:numPr>
        <w:rPr>
          <w:sz w:val="22"/>
          <w:szCs w:val="22"/>
        </w:rPr>
      </w:pPr>
      <w:r>
        <w:rPr>
          <w:sz w:val="22"/>
          <w:szCs w:val="22"/>
        </w:rPr>
        <w:t xml:space="preserve">The Council’s work as a regulator to address risks to health is inhibited </w:t>
      </w:r>
    </w:p>
    <w:p w:rsidR="004B20C5" w:rsidRDefault="004B20C5" w:rsidP="00E015D5">
      <w:pPr>
        <w:pStyle w:val="Default"/>
        <w:numPr>
          <w:ilvl w:val="0"/>
          <w:numId w:val="4"/>
        </w:numPr>
        <w:rPr>
          <w:sz w:val="22"/>
          <w:szCs w:val="22"/>
        </w:rPr>
      </w:pPr>
      <w:r>
        <w:rPr>
          <w:sz w:val="22"/>
          <w:szCs w:val="22"/>
        </w:rPr>
        <w:t xml:space="preserve">Consumer/tenant misled </w:t>
      </w:r>
    </w:p>
    <w:p w:rsidR="004B20C5" w:rsidRDefault="004B20C5" w:rsidP="004B20C5">
      <w:pPr>
        <w:pStyle w:val="Default"/>
        <w:rPr>
          <w:sz w:val="22"/>
          <w:szCs w:val="22"/>
        </w:rPr>
      </w:pPr>
    </w:p>
    <w:p w:rsidR="004B20C5" w:rsidRDefault="004B20C5" w:rsidP="004B20C5">
      <w:pPr>
        <w:pStyle w:val="Default"/>
        <w:rPr>
          <w:i/>
          <w:iCs/>
          <w:sz w:val="22"/>
          <w:szCs w:val="22"/>
        </w:rPr>
      </w:pPr>
      <w:r>
        <w:rPr>
          <w:i/>
          <w:iCs/>
          <w:sz w:val="22"/>
          <w:szCs w:val="22"/>
        </w:rPr>
        <w:t xml:space="preserve">Category 3- Low Likelihood of Harm </w:t>
      </w:r>
    </w:p>
    <w:p w:rsidR="00E015D5" w:rsidRDefault="00E015D5" w:rsidP="004B20C5">
      <w:pPr>
        <w:pStyle w:val="Default"/>
        <w:rPr>
          <w:sz w:val="22"/>
          <w:szCs w:val="22"/>
        </w:rPr>
      </w:pPr>
    </w:p>
    <w:p w:rsidR="004B20C5" w:rsidRDefault="004B20C5" w:rsidP="00E015D5">
      <w:pPr>
        <w:pStyle w:val="Default"/>
        <w:numPr>
          <w:ilvl w:val="0"/>
          <w:numId w:val="5"/>
        </w:numPr>
        <w:rPr>
          <w:sz w:val="22"/>
          <w:szCs w:val="22"/>
        </w:rPr>
      </w:pPr>
      <w:r>
        <w:rPr>
          <w:sz w:val="22"/>
          <w:szCs w:val="22"/>
        </w:rPr>
        <w:t xml:space="preserve">Low risk of an adverse effect on individual(s) </w:t>
      </w:r>
    </w:p>
    <w:p w:rsidR="004B20C5" w:rsidRDefault="004B20C5" w:rsidP="00E015D5">
      <w:pPr>
        <w:pStyle w:val="Default"/>
        <w:numPr>
          <w:ilvl w:val="0"/>
          <w:numId w:val="5"/>
        </w:numPr>
        <w:rPr>
          <w:sz w:val="22"/>
          <w:szCs w:val="22"/>
        </w:rPr>
      </w:pPr>
      <w:r>
        <w:rPr>
          <w:sz w:val="22"/>
          <w:szCs w:val="22"/>
        </w:rPr>
        <w:t xml:space="preserve">Public misled but little or no risk of actual adverse effect on individual(s) </w:t>
      </w:r>
    </w:p>
    <w:p w:rsidR="004B20C5" w:rsidRDefault="004B20C5" w:rsidP="004B20C5">
      <w:pPr>
        <w:pStyle w:val="Default"/>
        <w:rPr>
          <w:sz w:val="22"/>
          <w:szCs w:val="22"/>
        </w:rPr>
      </w:pPr>
    </w:p>
    <w:p w:rsidR="004C6D1B" w:rsidRPr="004C6D1B" w:rsidRDefault="004C6D1B" w:rsidP="004C6D1B">
      <w:pPr>
        <w:pStyle w:val="Default"/>
        <w:rPr>
          <w:sz w:val="22"/>
          <w:szCs w:val="22"/>
        </w:rPr>
      </w:pPr>
      <w:r w:rsidRPr="004C6D1B">
        <w:rPr>
          <w:sz w:val="22"/>
          <w:szCs w:val="22"/>
        </w:rPr>
        <w:t>We will use the following definition of harm taken from the statutory guidance on hazard rating under the Housing Act 2004, ’Harm is an adverse physical or mental effect on the health of a person. It includes, for example, physical injury, and illness, condition, or symptom whether physical or mental. It also includes both permanent and temporary harm.</w:t>
      </w:r>
      <w:r w:rsidR="00686B17">
        <w:rPr>
          <w:rStyle w:val="FootnoteReference"/>
          <w:sz w:val="22"/>
          <w:szCs w:val="22"/>
        </w:rPr>
        <w:footnoteReference w:id="2"/>
      </w:r>
    </w:p>
    <w:p w:rsidR="004C6D1B" w:rsidRPr="004C6D1B" w:rsidRDefault="004C6D1B" w:rsidP="004C6D1B">
      <w:pPr>
        <w:pStyle w:val="Default"/>
        <w:rPr>
          <w:sz w:val="22"/>
          <w:szCs w:val="22"/>
        </w:rPr>
      </w:pPr>
    </w:p>
    <w:p w:rsidR="004C6D1B" w:rsidRPr="00F7435C" w:rsidRDefault="004C6D1B" w:rsidP="004C6D1B">
      <w:pPr>
        <w:pStyle w:val="Default"/>
        <w:rPr>
          <w:b/>
          <w:sz w:val="28"/>
          <w:szCs w:val="28"/>
        </w:rPr>
      </w:pPr>
      <w:r w:rsidRPr="00F7435C">
        <w:rPr>
          <w:b/>
          <w:sz w:val="28"/>
          <w:szCs w:val="28"/>
        </w:rPr>
        <w:t>STEP TWO - Starting point and category range</w:t>
      </w:r>
    </w:p>
    <w:p w:rsidR="004C6D1B" w:rsidRPr="004C6D1B" w:rsidRDefault="004C6D1B" w:rsidP="004C6D1B">
      <w:pPr>
        <w:pStyle w:val="Default"/>
        <w:rPr>
          <w:sz w:val="22"/>
          <w:szCs w:val="22"/>
        </w:rPr>
      </w:pPr>
    </w:p>
    <w:p w:rsidR="004C6D1B" w:rsidRDefault="004C6D1B" w:rsidP="004C6D1B">
      <w:pPr>
        <w:pStyle w:val="Default"/>
        <w:rPr>
          <w:sz w:val="22"/>
          <w:szCs w:val="22"/>
        </w:rPr>
      </w:pPr>
      <w:r w:rsidRPr="004C6D1B">
        <w:rPr>
          <w:sz w:val="22"/>
          <w:szCs w:val="22"/>
        </w:rPr>
        <w:t>Having determined the category, the LA should refer to the following starting points to reach an appropriate level of civil penalty within the category range. The LA should then consider further adjustment within the category range for aggravating and mitigating features.</w:t>
      </w:r>
    </w:p>
    <w:p w:rsidR="004C6D1B" w:rsidRPr="004C6D1B" w:rsidRDefault="004C6D1B" w:rsidP="004C6D1B">
      <w:pPr>
        <w:pStyle w:val="Default"/>
        <w:rPr>
          <w:sz w:val="22"/>
          <w:szCs w:val="22"/>
        </w:rPr>
      </w:pPr>
    </w:p>
    <w:p w:rsidR="004C6D1B" w:rsidRDefault="004C6D1B" w:rsidP="004C6D1B">
      <w:pPr>
        <w:pStyle w:val="Default"/>
        <w:rPr>
          <w:sz w:val="22"/>
          <w:szCs w:val="22"/>
        </w:rPr>
      </w:pPr>
      <w:r w:rsidRPr="004C6D1B">
        <w:rPr>
          <w:sz w:val="22"/>
          <w:szCs w:val="22"/>
        </w:rPr>
        <w:t>Obtaining financial information</w:t>
      </w:r>
    </w:p>
    <w:p w:rsidR="004C6D1B" w:rsidRPr="004C6D1B" w:rsidRDefault="004C6D1B" w:rsidP="004C6D1B">
      <w:pPr>
        <w:pStyle w:val="Default"/>
        <w:rPr>
          <w:sz w:val="22"/>
          <w:szCs w:val="22"/>
        </w:rPr>
      </w:pPr>
    </w:p>
    <w:p w:rsidR="004C6D1B" w:rsidRDefault="004C6D1B" w:rsidP="004C6D1B">
      <w:pPr>
        <w:pStyle w:val="Default"/>
        <w:rPr>
          <w:sz w:val="22"/>
          <w:szCs w:val="22"/>
        </w:rPr>
      </w:pPr>
      <w:r w:rsidRPr="004C6D1B">
        <w:rPr>
          <w:sz w:val="22"/>
          <w:szCs w:val="22"/>
        </w:rPr>
        <w:t>The statutory guidance advises that local authorities should use their existing powers to, as far as possible, make an assessment of a landlord’s assets and any income (not just rental income) they receive when determining an appropriate penalty.</w:t>
      </w:r>
    </w:p>
    <w:p w:rsidR="004C6D1B" w:rsidRPr="004C6D1B" w:rsidRDefault="004C6D1B" w:rsidP="004C6D1B">
      <w:pPr>
        <w:pStyle w:val="Default"/>
        <w:rPr>
          <w:sz w:val="22"/>
          <w:szCs w:val="22"/>
        </w:rPr>
      </w:pPr>
    </w:p>
    <w:p w:rsidR="004C6D1B" w:rsidRDefault="004C6D1B" w:rsidP="004C6D1B">
      <w:pPr>
        <w:pStyle w:val="Default"/>
        <w:rPr>
          <w:sz w:val="22"/>
          <w:szCs w:val="22"/>
        </w:rPr>
      </w:pPr>
      <w:r w:rsidRPr="004C6D1B">
        <w:rPr>
          <w:sz w:val="22"/>
          <w:szCs w:val="22"/>
        </w:rPr>
        <w:t>In setting a financial penalty, the Council may conclude that the offender is able to pay any financial penalty imposed unless the Council has obtained or the offender has supplied any financial information to the contrary. An offender will be expected to disclose to the Council such data relevant to his financial position to enable the Council to assess what an offender can reasonably afford to pay. Where the Council is not satisfied that it has been given sufficient reliable information, the Council will be entitled to draw reasonable inferences as to the offender’s means from evidence it has received and from all the circumstances of the case which may include the inference that the offender can pay any financial penalty.</w:t>
      </w:r>
    </w:p>
    <w:p w:rsidR="004C6D1B" w:rsidRPr="004C6D1B" w:rsidRDefault="004C6D1B" w:rsidP="004C6D1B">
      <w:pPr>
        <w:pStyle w:val="Default"/>
        <w:rPr>
          <w:sz w:val="22"/>
          <w:szCs w:val="22"/>
        </w:rPr>
      </w:pPr>
    </w:p>
    <w:p w:rsidR="004C6D1B" w:rsidRPr="00C8693B" w:rsidRDefault="00C8693B" w:rsidP="004C6D1B">
      <w:pPr>
        <w:pStyle w:val="Default"/>
        <w:rPr>
          <w:i/>
          <w:sz w:val="22"/>
          <w:szCs w:val="22"/>
        </w:rPr>
      </w:pPr>
      <w:proofErr w:type="gramStart"/>
      <w:r w:rsidRPr="00C8693B">
        <w:rPr>
          <w:i/>
          <w:sz w:val="22"/>
          <w:szCs w:val="22"/>
        </w:rPr>
        <w:t xml:space="preserve">An Oadby and Wigston Borough Council </w:t>
      </w:r>
      <w:r w:rsidR="004C6D1B" w:rsidRPr="00C8693B">
        <w:rPr>
          <w:i/>
          <w:sz w:val="22"/>
          <w:szCs w:val="22"/>
        </w:rPr>
        <w:t>specific example.</w:t>
      </w:r>
      <w:proofErr w:type="gramEnd"/>
    </w:p>
    <w:p w:rsidR="004C6D1B" w:rsidRPr="004C6D1B" w:rsidRDefault="004C6D1B" w:rsidP="004C6D1B">
      <w:pPr>
        <w:pStyle w:val="Default"/>
        <w:rPr>
          <w:sz w:val="22"/>
          <w:szCs w:val="22"/>
        </w:rPr>
      </w:pPr>
    </w:p>
    <w:p w:rsidR="004C6D1B" w:rsidRDefault="004C6D1B" w:rsidP="004C6D1B">
      <w:pPr>
        <w:pStyle w:val="Default"/>
        <w:rPr>
          <w:sz w:val="22"/>
          <w:szCs w:val="22"/>
        </w:rPr>
      </w:pPr>
      <w:r w:rsidRPr="004C6D1B">
        <w:rPr>
          <w:sz w:val="22"/>
          <w:szCs w:val="22"/>
        </w:rPr>
        <w:t xml:space="preserve">As many offenders will be owners of one or more properties in </w:t>
      </w:r>
      <w:r w:rsidR="00C8693B">
        <w:rPr>
          <w:sz w:val="22"/>
          <w:szCs w:val="22"/>
        </w:rPr>
        <w:t>the Borough</w:t>
      </w:r>
      <w:r w:rsidRPr="004C6D1B">
        <w:rPr>
          <w:sz w:val="22"/>
          <w:szCs w:val="22"/>
        </w:rPr>
        <w:t xml:space="preserve">, they are likely to have assets that they can sell or borrow against. Property values in </w:t>
      </w:r>
      <w:r w:rsidR="00C8693B">
        <w:rPr>
          <w:sz w:val="22"/>
          <w:szCs w:val="22"/>
        </w:rPr>
        <w:t>parts of the Borough</w:t>
      </w:r>
      <w:r w:rsidRPr="004C6D1B">
        <w:rPr>
          <w:sz w:val="22"/>
          <w:szCs w:val="22"/>
        </w:rPr>
        <w:t xml:space="preserve"> are high, and have consistently increased so even those offenders with mortgaged properties are likely to have value in the property that can be released. Therefore, if an offender claims that they are unable to pay a financial penalty and shows that their income is small, consideration should be given to properties owned that can be sold or refinanced.</w:t>
      </w:r>
    </w:p>
    <w:p w:rsidR="004C6D1B" w:rsidRPr="004C6D1B" w:rsidRDefault="004C6D1B" w:rsidP="004C6D1B">
      <w:pPr>
        <w:pStyle w:val="Default"/>
        <w:rPr>
          <w:sz w:val="22"/>
          <w:szCs w:val="22"/>
        </w:rPr>
      </w:pPr>
    </w:p>
    <w:p w:rsidR="004C6D1B" w:rsidRDefault="004C6D1B" w:rsidP="004C6D1B">
      <w:pPr>
        <w:pStyle w:val="Default"/>
        <w:rPr>
          <w:sz w:val="22"/>
          <w:szCs w:val="22"/>
        </w:rPr>
      </w:pPr>
    </w:p>
    <w:p w:rsidR="00C8693B" w:rsidRDefault="00C8693B" w:rsidP="004C6D1B">
      <w:pPr>
        <w:pStyle w:val="Default"/>
        <w:rPr>
          <w:sz w:val="22"/>
          <w:szCs w:val="22"/>
        </w:rPr>
      </w:pPr>
    </w:p>
    <w:p w:rsidR="00C8693B" w:rsidRPr="004C6D1B" w:rsidRDefault="00C8693B" w:rsidP="004C6D1B">
      <w:pPr>
        <w:pStyle w:val="Default"/>
        <w:rPr>
          <w:sz w:val="22"/>
          <w:szCs w:val="22"/>
        </w:rPr>
      </w:pPr>
    </w:p>
    <w:p w:rsidR="004C6D1B" w:rsidRDefault="004C6D1B" w:rsidP="004C6D1B">
      <w:pPr>
        <w:pStyle w:val="Default"/>
        <w:rPr>
          <w:sz w:val="22"/>
          <w:szCs w:val="22"/>
        </w:rPr>
      </w:pPr>
    </w:p>
    <w:p w:rsidR="004B20C5" w:rsidRDefault="004B20C5" w:rsidP="004B20C5">
      <w:pPr>
        <w:pStyle w:val="Default"/>
        <w:rPr>
          <w:sz w:val="22"/>
          <w:szCs w:val="22"/>
        </w:rPr>
      </w:pPr>
    </w:p>
    <w:p w:rsidR="00686B17" w:rsidRDefault="00686B17" w:rsidP="004B20C5">
      <w:pPr>
        <w:pStyle w:val="Default"/>
        <w:rPr>
          <w:b/>
          <w:bCs/>
          <w:sz w:val="22"/>
          <w:szCs w:val="22"/>
        </w:rPr>
      </w:pPr>
    </w:p>
    <w:p w:rsidR="004B20C5" w:rsidRDefault="004B20C5" w:rsidP="004B20C5">
      <w:pPr>
        <w:pStyle w:val="Default"/>
        <w:rPr>
          <w:b/>
          <w:bCs/>
          <w:sz w:val="22"/>
          <w:szCs w:val="22"/>
        </w:rPr>
      </w:pPr>
      <w:r>
        <w:rPr>
          <w:b/>
          <w:bCs/>
          <w:sz w:val="22"/>
          <w:szCs w:val="22"/>
        </w:rPr>
        <w:lastRenderedPageBreak/>
        <w:t xml:space="preserve">Starting points and ranges </w:t>
      </w:r>
    </w:p>
    <w:p w:rsidR="004B20C5" w:rsidRDefault="004B20C5" w:rsidP="004B20C5">
      <w:pPr>
        <w:pStyle w:val="Default"/>
        <w:rPr>
          <w:sz w:val="22"/>
          <w:szCs w:val="22"/>
        </w:rPr>
      </w:pPr>
    </w:p>
    <w:p w:rsidR="00E015D5" w:rsidRDefault="00E015D5" w:rsidP="004B20C5">
      <w:pPr>
        <w:pStyle w:val="Default"/>
        <w:rPr>
          <w:sz w:val="22"/>
          <w:szCs w:val="22"/>
        </w:rPr>
      </w:pPr>
      <w:r w:rsidRPr="00E015D5">
        <w:rPr>
          <w:sz w:val="22"/>
          <w:szCs w:val="22"/>
        </w:rPr>
        <w:t>The table below gives the starting points, minimum and maximum financial penalties for each harm category and level of culpability</w:t>
      </w:r>
    </w:p>
    <w:p w:rsidR="00E015D5" w:rsidRDefault="00E015D5" w:rsidP="004B20C5">
      <w:pPr>
        <w:pStyle w:val="Default"/>
        <w:rPr>
          <w:sz w:val="22"/>
          <w:szCs w:val="22"/>
        </w:rPr>
      </w:pPr>
    </w:p>
    <w:tbl>
      <w:tblPr>
        <w:tblStyle w:val="TableGrid"/>
        <w:tblW w:w="0" w:type="auto"/>
        <w:tblLook w:val="04A0" w:firstRow="1" w:lastRow="0" w:firstColumn="1" w:lastColumn="0" w:noHBand="0" w:noVBand="1"/>
      </w:tblPr>
      <w:tblGrid>
        <w:gridCol w:w="2310"/>
        <w:gridCol w:w="2310"/>
        <w:gridCol w:w="2311"/>
        <w:gridCol w:w="2311"/>
      </w:tblGrid>
      <w:tr w:rsidR="00E015D5" w:rsidTr="00B53910">
        <w:tc>
          <w:tcPr>
            <w:tcW w:w="2310" w:type="dxa"/>
            <w:tcBorders>
              <w:top w:val="nil"/>
              <w:left w:val="nil"/>
              <w:bottom w:val="nil"/>
              <w:right w:val="nil"/>
            </w:tcBorders>
          </w:tcPr>
          <w:p w:rsidR="00E015D5" w:rsidRDefault="00E015D5" w:rsidP="004B20C5">
            <w:pPr>
              <w:pStyle w:val="Default"/>
              <w:rPr>
                <w:sz w:val="22"/>
                <w:szCs w:val="22"/>
              </w:rPr>
            </w:pPr>
          </w:p>
        </w:tc>
        <w:tc>
          <w:tcPr>
            <w:tcW w:w="2310" w:type="dxa"/>
            <w:tcBorders>
              <w:top w:val="nil"/>
              <w:left w:val="nil"/>
              <w:bottom w:val="single" w:sz="4" w:space="0" w:color="auto"/>
            </w:tcBorders>
          </w:tcPr>
          <w:p w:rsidR="00E015D5" w:rsidRDefault="00E015D5" w:rsidP="004B20C5">
            <w:pPr>
              <w:pStyle w:val="Default"/>
              <w:rPr>
                <w:sz w:val="22"/>
                <w:szCs w:val="22"/>
              </w:rPr>
            </w:pPr>
          </w:p>
        </w:tc>
        <w:tc>
          <w:tcPr>
            <w:tcW w:w="4622" w:type="dxa"/>
            <w:gridSpan w:val="2"/>
            <w:tcBorders>
              <w:bottom w:val="single" w:sz="4" w:space="0" w:color="auto"/>
            </w:tcBorders>
          </w:tcPr>
          <w:p w:rsidR="00E015D5" w:rsidRDefault="00E015D5" w:rsidP="00E015D5">
            <w:pPr>
              <w:pStyle w:val="Default"/>
              <w:jc w:val="center"/>
              <w:rPr>
                <w:sz w:val="22"/>
                <w:szCs w:val="22"/>
              </w:rPr>
            </w:pPr>
            <w:r w:rsidRPr="00E015D5">
              <w:rPr>
                <w:sz w:val="22"/>
                <w:szCs w:val="22"/>
              </w:rPr>
              <w:t>Range</w:t>
            </w:r>
          </w:p>
        </w:tc>
      </w:tr>
      <w:tr w:rsidR="00E015D5" w:rsidTr="00B53910">
        <w:tc>
          <w:tcPr>
            <w:tcW w:w="2310" w:type="dxa"/>
            <w:tcBorders>
              <w:top w:val="nil"/>
              <w:left w:val="nil"/>
              <w:bottom w:val="nil"/>
            </w:tcBorders>
          </w:tcPr>
          <w:p w:rsidR="00E015D5" w:rsidRDefault="00E015D5" w:rsidP="004B20C5">
            <w:pPr>
              <w:pStyle w:val="Default"/>
              <w:rPr>
                <w:sz w:val="22"/>
                <w:szCs w:val="22"/>
              </w:rPr>
            </w:pPr>
          </w:p>
        </w:tc>
        <w:tc>
          <w:tcPr>
            <w:tcW w:w="2310" w:type="dxa"/>
            <w:tcBorders>
              <w:bottom w:val="single" w:sz="4" w:space="0" w:color="auto"/>
            </w:tcBorders>
          </w:tcPr>
          <w:p w:rsidR="00E015D5" w:rsidRDefault="00E015D5" w:rsidP="00C8693B">
            <w:pPr>
              <w:pStyle w:val="Default"/>
              <w:jc w:val="center"/>
              <w:rPr>
                <w:sz w:val="22"/>
                <w:szCs w:val="22"/>
              </w:rPr>
            </w:pPr>
            <w:r>
              <w:rPr>
                <w:b/>
                <w:bCs/>
                <w:i/>
                <w:iCs/>
                <w:sz w:val="22"/>
                <w:szCs w:val="22"/>
              </w:rPr>
              <w:t>Starting point</w:t>
            </w:r>
          </w:p>
        </w:tc>
        <w:tc>
          <w:tcPr>
            <w:tcW w:w="2311" w:type="dxa"/>
            <w:tcBorders>
              <w:bottom w:val="single" w:sz="4" w:space="0" w:color="auto"/>
            </w:tcBorders>
          </w:tcPr>
          <w:p w:rsidR="00E015D5" w:rsidRDefault="00E015D5" w:rsidP="00C8693B">
            <w:pPr>
              <w:pStyle w:val="Default"/>
              <w:jc w:val="center"/>
              <w:rPr>
                <w:sz w:val="22"/>
                <w:szCs w:val="22"/>
              </w:rPr>
            </w:pPr>
            <w:r>
              <w:rPr>
                <w:b/>
                <w:bCs/>
                <w:i/>
                <w:iCs/>
                <w:sz w:val="22"/>
                <w:szCs w:val="22"/>
              </w:rPr>
              <w:t>Min</w:t>
            </w:r>
          </w:p>
        </w:tc>
        <w:tc>
          <w:tcPr>
            <w:tcW w:w="2311" w:type="dxa"/>
            <w:tcBorders>
              <w:bottom w:val="single" w:sz="4" w:space="0" w:color="auto"/>
            </w:tcBorders>
          </w:tcPr>
          <w:p w:rsidR="00E015D5" w:rsidRDefault="00E015D5" w:rsidP="00C8693B">
            <w:pPr>
              <w:pStyle w:val="Default"/>
              <w:jc w:val="center"/>
              <w:rPr>
                <w:sz w:val="22"/>
                <w:szCs w:val="22"/>
              </w:rPr>
            </w:pPr>
            <w:r>
              <w:rPr>
                <w:b/>
                <w:bCs/>
                <w:i/>
                <w:iCs/>
                <w:sz w:val="22"/>
                <w:szCs w:val="22"/>
              </w:rPr>
              <w:t>Max</w:t>
            </w:r>
          </w:p>
        </w:tc>
      </w:tr>
      <w:tr w:rsidR="00E015D5" w:rsidTr="00B53910">
        <w:tc>
          <w:tcPr>
            <w:tcW w:w="9242" w:type="dxa"/>
            <w:gridSpan w:val="4"/>
            <w:tcBorders>
              <w:top w:val="nil"/>
              <w:left w:val="nil"/>
              <w:right w:val="nil"/>
            </w:tcBorders>
          </w:tcPr>
          <w:p w:rsidR="00E015D5" w:rsidRDefault="00E015D5" w:rsidP="004B20C5">
            <w:pPr>
              <w:pStyle w:val="Default"/>
              <w:rPr>
                <w:sz w:val="22"/>
                <w:szCs w:val="22"/>
              </w:rPr>
            </w:pPr>
            <w:r>
              <w:rPr>
                <w:sz w:val="22"/>
                <w:szCs w:val="22"/>
              </w:rPr>
              <w:t>Low C</w:t>
            </w:r>
            <w:r w:rsidRPr="00E015D5">
              <w:rPr>
                <w:sz w:val="22"/>
                <w:szCs w:val="22"/>
              </w:rPr>
              <w:t>ulpability</w:t>
            </w:r>
          </w:p>
        </w:tc>
      </w:tr>
      <w:tr w:rsidR="00E015D5" w:rsidTr="00E015D5">
        <w:tc>
          <w:tcPr>
            <w:tcW w:w="2310" w:type="dxa"/>
          </w:tcPr>
          <w:p w:rsidR="00E015D5" w:rsidRDefault="00E015D5" w:rsidP="004B20C5">
            <w:pPr>
              <w:pStyle w:val="Default"/>
              <w:rPr>
                <w:sz w:val="22"/>
                <w:szCs w:val="22"/>
              </w:rPr>
            </w:pPr>
            <w:r w:rsidRPr="00E015D5">
              <w:rPr>
                <w:sz w:val="22"/>
                <w:szCs w:val="22"/>
              </w:rPr>
              <w:t>Harm category 3</w:t>
            </w:r>
          </w:p>
        </w:tc>
        <w:tc>
          <w:tcPr>
            <w:tcW w:w="2310" w:type="dxa"/>
          </w:tcPr>
          <w:p w:rsidR="00E015D5" w:rsidRDefault="00E015D5" w:rsidP="00C8693B">
            <w:pPr>
              <w:pStyle w:val="Default"/>
              <w:jc w:val="center"/>
              <w:rPr>
                <w:sz w:val="22"/>
                <w:szCs w:val="22"/>
              </w:rPr>
            </w:pPr>
            <w:r>
              <w:rPr>
                <w:sz w:val="22"/>
                <w:szCs w:val="22"/>
              </w:rPr>
              <w:t>£50</w:t>
            </w:r>
          </w:p>
        </w:tc>
        <w:tc>
          <w:tcPr>
            <w:tcW w:w="2311" w:type="dxa"/>
          </w:tcPr>
          <w:p w:rsidR="00E015D5" w:rsidRDefault="00E015D5" w:rsidP="00C8693B">
            <w:pPr>
              <w:pStyle w:val="Default"/>
              <w:jc w:val="center"/>
              <w:rPr>
                <w:sz w:val="22"/>
                <w:szCs w:val="22"/>
              </w:rPr>
            </w:pPr>
            <w:r>
              <w:rPr>
                <w:sz w:val="22"/>
                <w:szCs w:val="22"/>
              </w:rPr>
              <w:t>£25</w:t>
            </w:r>
          </w:p>
        </w:tc>
        <w:tc>
          <w:tcPr>
            <w:tcW w:w="2311" w:type="dxa"/>
          </w:tcPr>
          <w:p w:rsidR="00E015D5" w:rsidRDefault="00E015D5" w:rsidP="00C8693B">
            <w:pPr>
              <w:pStyle w:val="Default"/>
              <w:jc w:val="center"/>
              <w:rPr>
                <w:sz w:val="22"/>
                <w:szCs w:val="22"/>
              </w:rPr>
            </w:pPr>
            <w:r>
              <w:rPr>
                <w:sz w:val="22"/>
                <w:szCs w:val="22"/>
              </w:rPr>
              <w:t>£175</w:t>
            </w:r>
          </w:p>
        </w:tc>
      </w:tr>
      <w:tr w:rsidR="00E015D5" w:rsidTr="00E015D5">
        <w:tc>
          <w:tcPr>
            <w:tcW w:w="2310" w:type="dxa"/>
          </w:tcPr>
          <w:p w:rsidR="00E015D5" w:rsidRDefault="00E015D5" w:rsidP="004B20C5">
            <w:pPr>
              <w:pStyle w:val="Default"/>
              <w:rPr>
                <w:sz w:val="22"/>
                <w:szCs w:val="22"/>
              </w:rPr>
            </w:pPr>
            <w:r w:rsidRPr="00E015D5">
              <w:rPr>
                <w:sz w:val="22"/>
                <w:szCs w:val="22"/>
              </w:rPr>
              <w:t>Harm category 2</w:t>
            </w:r>
          </w:p>
        </w:tc>
        <w:tc>
          <w:tcPr>
            <w:tcW w:w="2310" w:type="dxa"/>
          </w:tcPr>
          <w:p w:rsidR="00E015D5" w:rsidRDefault="00E015D5" w:rsidP="00C8693B">
            <w:pPr>
              <w:pStyle w:val="Default"/>
              <w:jc w:val="center"/>
              <w:rPr>
                <w:sz w:val="22"/>
                <w:szCs w:val="22"/>
              </w:rPr>
            </w:pPr>
            <w:r>
              <w:rPr>
                <w:sz w:val="22"/>
                <w:szCs w:val="22"/>
              </w:rPr>
              <w:t>£125</w:t>
            </w:r>
          </w:p>
        </w:tc>
        <w:tc>
          <w:tcPr>
            <w:tcW w:w="2311" w:type="dxa"/>
          </w:tcPr>
          <w:p w:rsidR="00E015D5" w:rsidRDefault="00E015D5" w:rsidP="00C8693B">
            <w:pPr>
              <w:pStyle w:val="Default"/>
              <w:jc w:val="center"/>
              <w:rPr>
                <w:sz w:val="22"/>
                <w:szCs w:val="22"/>
              </w:rPr>
            </w:pPr>
            <w:r>
              <w:rPr>
                <w:sz w:val="22"/>
                <w:szCs w:val="22"/>
              </w:rPr>
              <w:t>£50</w:t>
            </w:r>
          </w:p>
        </w:tc>
        <w:tc>
          <w:tcPr>
            <w:tcW w:w="2311" w:type="dxa"/>
          </w:tcPr>
          <w:p w:rsidR="00E015D5" w:rsidRDefault="00E015D5" w:rsidP="00C8693B">
            <w:pPr>
              <w:pStyle w:val="Default"/>
              <w:jc w:val="center"/>
              <w:rPr>
                <w:sz w:val="22"/>
                <w:szCs w:val="22"/>
              </w:rPr>
            </w:pPr>
            <w:r>
              <w:rPr>
                <w:sz w:val="22"/>
                <w:szCs w:val="22"/>
              </w:rPr>
              <w:t>£350</w:t>
            </w:r>
          </w:p>
        </w:tc>
      </w:tr>
      <w:tr w:rsidR="00E015D5" w:rsidTr="00E015D5">
        <w:tc>
          <w:tcPr>
            <w:tcW w:w="2310" w:type="dxa"/>
            <w:tcBorders>
              <w:bottom w:val="single" w:sz="4" w:space="0" w:color="auto"/>
            </w:tcBorders>
          </w:tcPr>
          <w:p w:rsidR="00E015D5" w:rsidRDefault="00E015D5" w:rsidP="004B20C5">
            <w:pPr>
              <w:pStyle w:val="Default"/>
              <w:rPr>
                <w:sz w:val="22"/>
                <w:szCs w:val="22"/>
              </w:rPr>
            </w:pPr>
            <w:r>
              <w:rPr>
                <w:sz w:val="22"/>
                <w:szCs w:val="22"/>
              </w:rPr>
              <w:t>Harm category 1</w:t>
            </w:r>
          </w:p>
        </w:tc>
        <w:tc>
          <w:tcPr>
            <w:tcW w:w="2310" w:type="dxa"/>
            <w:tcBorders>
              <w:bottom w:val="single" w:sz="4" w:space="0" w:color="auto"/>
            </w:tcBorders>
          </w:tcPr>
          <w:p w:rsidR="00E015D5" w:rsidRDefault="00E015D5" w:rsidP="00C8693B">
            <w:pPr>
              <w:pStyle w:val="Default"/>
              <w:jc w:val="center"/>
              <w:rPr>
                <w:sz w:val="22"/>
                <w:szCs w:val="22"/>
              </w:rPr>
            </w:pPr>
            <w:r>
              <w:rPr>
                <w:sz w:val="22"/>
                <w:szCs w:val="22"/>
              </w:rPr>
              <w:t>£300</w:t>
            </w:r>
          </w:p>
        </w:tc>
        <w:tc>
          <w:tcPr>
            <w:tcW w:w="2311" w:type="dxa"/>
            <w:tcBorders>
              <w:bottom w:val="single" w:sz="4" w:space="0" w:color="auto"/>
            </w:tcBorders>
          </w:tcPr>
          <w:p w:rsidR="00E015D5" w:rsidRDefault="00E015D5" w:rsidP="00C8693B">
            <w:pPr>
              <w:pStyle w:val="Default"/>
              <w:jc w:val="center"/>
              <w:rPr>
                <w:sz w:val="22"/>
                <w:szCs w:val="22"/>
              </w:rPr>
            </w:pPr>
            <w:r>
              <w:rPr>
                <w:sz w:val="22"/>
                <w:szCs w:val="22"/>
              </w:rPr>
              <w:t>£125</w:t>
            </w:r>
          </w:p>
        </w:tc>
        <w:tc>
          <w:tcPr>
            <w:tcW w:w="2311" w:type="dxa"/>
            <w:tcBorders>
              <w:bottom w:val="single" w:sz="4" w:space="0" w:color="auto"/>
            </w:tcBorders>
          </w:tcPr>
          <w:p w:rsidR="00E015D5" w:rsidRDefault="00E015D5" w:rsidP="00C8693B">
            <w:pPr>
              <w:pStyle w:val="Default"/>
              <w:jc w:val="center"/>
              <w:rPr>
                <w:sz w:val="22"/>
                <w:szCs w:val="22"/>
              </w:rPr>
            </w:pPr>
            <w:r>
              <w:rPr>
                <w:sz w:val="22"/>
                <w:szCs w:val="22"/>
              </w:rPr>
              <w:t>£750</w:t>
            </w:r>
          </w:p>
        </w:tc>
      </w:tr>
      <w:tr w:rsidR="00E015D5" w:rsidTr="00E015D5">
        <w:tc>
          <w:tcPr>
            <w:tcW w:w="9242" w:type="dxa"/>
            <w:gridSpan w:val="4"/>
            <w:tcBorders>
              <w:left w:val="nil"/>
              <w:right w:val="nil"/>
            </w:tcBorders>
          </w:tcPr>
          <w:p w:rsidR="00E015D5" w:rsidRDefault="00E015D5" w:rsidP="004B20C5">
            <w:pPr>
              <w:pStyle w:val="Default"/>
              <w:rPr>
                <w:sz w:val="22"/>
                <w:szCs w:val="22"/>
              </w:rPr>
            </w:pPr>
          </w:p>
          <w:p w:rsidR="00E015D5" w:rsidRDefault="00B53910" w:rsidP="004B20C5">
            <w:pPr>
              <w:pStyle w:val="Default"/>
              <w:rPr>
                <w:sz w:val="22"/>
                <w:szCs w:val="22"/>
              </w:rPr>
            </w:pPr>
            <w:r>
              <w:rPr>
                <w:sz w:val="22"/>
                <w:szCs w:val="22"/>
              </w:rPr>
              <w:t>Medium C</w:t>
            </w:r>
            <w:r w:rsidR="00E015D5" w:rsidRPr="00E015D5">
              <w:rPr>
                <w:sz w:val="22"/>
                <w:szCs w:val="22"/>
              </w:rPr>
              <w:t>ulpability</w:t>
            </w:r>
          </w:p>
        </w:tc>
      </w:tr>
      <w:tr w:rsidR="00E015D5" w:rsidTr="00E015D5">
        <w:tc>
          <w:tcPr>
            <w:tcW w:w="2310" w:type="dxa"/>
          </w:tcPr>
          <w:p w:rsidR="00E015D5" w:rsidRDefault="00E015D5" w:rsidP="00EE5298">
            <w:pPr>
              <w:pStyle w:val="Default"/>
              <w:rPr>
                <w:sz w:val="22"/>
                <w:szCs w:val="22"/>
              </w:rPr>
            </w:pPr>
            <w:r w:rsidRPr="00E015D5">
              <w:rPr>
                <w:sz w:val="22"/>
                <w:szCs w:val="22"/>
              </w:rPr>
              <w:t>Harm category 3</w:t>
            </w:r>
          </w:p>
        </w:tc>
        <w:tc>
          <w:tcPr>
            <w:tcW w:w="2310" w:type="dxa"/>
          </w:tcPr>
          <w:p w:rsidR="00E015D5" w:rsidRDefault="00E015D5" w:rsidP="00C8693B">
            <w:pPr>
              <w:pStyle w:val="Default"/>
              <w:jc w:val="center"/>
              <w:rPr>
                <w:sz w:val="22"/>
                <w:szCs w:val="22"/>
              </w:rPr>
            </w:pPr>
            <w:r>
              <w:rPr>
                <w:sz w:val="22"/>
                <w:szCs w:val="22"/>
              </w:rPr>
              <w:t>£350</w:t>
            </w:r>
          </w:p>
        </w:tc>
        <w:tc>
          <w:tcPr>
            <w:tcW w:w="2311" w:type="dxa"/>
          </w:tcPr>
          <w:p w:rsidR="00E015D5" w:rsidRDefault="00E015D5" w:rsidP="00C8693B">
            <w:pPr>
              <w:pStyle w:val="Default"/>
              <w:jc w:val="center"/>
              <w:rPr>
                <w:sz w:val="22"/>
                <w:szCs w:val="22"/>
              </w:rPr>
            </w:pPr>
            <w:r>
              <w:rPr>
                <w:sz w:val="22"/>
                <w:szCs w:val="22"/>
              </w:rPr>
              <w:t>£175</w:t>
            </w:r>
          </w:p>
        </w:tc>
        <w:tc>
          <w:tcPr>
            <w:tcW w:w="2311" w:type="dxa"/>
          </w:tcPr>
          <w:p w:rsidR="00E015D5" w:rsidRDefault="00E015D5" w:rsidP="00C8693B">
            <w:pPr>
              <w:pStyle w:val="Default"/>
              <w:jc w:val="center"/>
              <w:rPr>
                <w:sz w:val="22"/>
                <w:szCs w:val="22"/>
              </w:rPr>
            </w:pPr>
            <w:r>
              <w:rPr>
                <w:sz w:val="22"/>
                <w:szCs w:val="22"/>
              </w:rPr>
              <w:t>£750</w:t>
            </w:r>
          </w:p>
        </w:tc>
      </w:tr>
      <w:tr w:rsidR="00E015D5" w:rsidTr="00E015D5">
        <w:tc>
          <w:tcPr>
            <w:tcW w:w="2310" w:type="dxa"/>
          </w:tcPr>
          <w:p w:rsidR="00E015D5" w:rsidRDefault="00E015D5" w:rsidP="00EE5298">
            <w:pPr>
              <w:pStyle w:val="Default"/>
              <w:rPr>
                <w:sz w:val="22"/>
                <w:szCs w:val="22"/>
              </w:rPr>
            </w:pPr>
            <w:r w:rsidRPr="00E015D5">
              <w:rPr>
                <w:sz w:val="22"/>
                <w:szCs w:val="22"/>
              </w:rPr>
              <w:t>Harm category 2</w:t>
            </w:r>
          </w:p>
        </w:tc>
        <w:tc>
          <w:tcPr>
            <w:tcW w:w="2310" w:type="dxa"/>
          </w:tcPr>
          <w:p w:rsidR="00E015D5" w:rsidRDefault="00E015D5" w:rsidP="00C8693B">
            <w:pPr>
              <w:pStyle w:val="Default"/>
              <w:jc w:val="center"/>
              <w:rPr>
                <w:sz w:val="22"/>
                <w:szCs w:val="22"/>
              </w:rPr>
            </w:pPr>
            <w:r>
              <w:rPr>
                <w:sz w:val="22"/>
                <w:szCs w:val="22"/>
              </w:rPr>
              <w:t>£1,000</w:t>
            </w:r>
          </w:p>
        </w:tc>
        <w:tc>
          <w:tcPr>
            <w:tcW w:w="2311" w:type="dxa"/>
          </w:tcPr>
          <w:p w:rsidR="00E015D5" w:rsidRDefault="00E015D5" w:rsidP="00C8693B">
            <w:pPr>
              <w:pStyle w:val="Default"/>
              <w:jc w:val="center"/>
              <w:rPr>
                <w:sz w:val="22"/>
                <w:szCs w:val="22"/>
              </w:rPr>
            </w:pPr>
            <w:r>
              <w:rPr>
                <w:sz w:val="22"/>
                <w:szCs w:val="22"/>
              </w:rPr>
              <w:t>£350</w:t>
            </w:r>
          </w:p>
        </w:tc>
        <w:tc>
          <w:tcPr>
            <w:tcW w:w="2311" w:type="dxa"/>
          </w:tcPr>
          <w:p w:rsidR="00E015D5" w:rsidRDefault="00E015D5" w:rsidP="00C8693B">
            <w:pPr>
              <w:pStyle w:val="Default"/>
              <w:jc w:val="center"/>
              <w:rPr>
                <w:sz w:val="22"/>
                <w:szCs w:val="22"/>
              </w:rPr>
            </w:pPr>
            <w:r>
              <w:rPr>
                <w:sz w:val="22"/>
                <w:szCs w:val="22"/>
              </w:rPr>
              <w:t>£2,000</w:t>
            </w:r>
          </w:p>
        </w:tc>
      </w:tr>
      <w:tr w:rsidR="00E015D5" w:rsidTr="00E015D5">
        <w:tc>
          <w:tcPr>
            <w:tcW w:w="2310" w:type="dxa"/>
            <w:tcBorders>
              <w:bottom w:val="single" w:sz="4" w:space="0" w:color="auto"/>
            </w:tcBorders>
          </w:tcPr>
          <w:p w:rsidR="00E015D5" w:rsidRDefault="00E015D5" w:rsidP="00EE5298">
            <w:pPr>
              <w:pStyle w:val="Default"/>
              <w:rPr>
                <w:sz w:val="22"/>
                <w:szCs w:val="22"/>
              </w:rPr>
            </w:pPr>
            <w:r>
              <w:rPr>
                <w:sz w:val="22"/>
                <w:szCs w:val="22"/>
              </w:rPr>
              <w:t>Harm category 1</w:t>
            </w:r>
          </w:p>
        </w:tc>
        <w:tc>
          <w:tcPr>
            <w:tcW w:w="2310" w:type="dxa"/>
            <w:tcBorders>
              <w:bottom w:val="single" w:sz="4" w:space="0" w:color="auto"/>
            </w:tcBorders>
          </w:tcPr>
          <w:p w:rsidR="00E015D5" w:rsidRDefault="00E015D5" w:rsidP="00C8693B">
            <w:pPr>
              <w:pStyle w:val="Default"/>
              <w:jc w:val="center"/>
              <w:rPr>
                <w:sz w:val="22"/>
                <w:szCs w:val="22"/>
              </w:rPr>
            </w:pPr>
            <w:r>
              <w:rPr>
                <w:sz w:val="22"/>
                <w:szCs w:val="22"/>
              </w:rPr>
              <w:t>£2,500</w:t>
            </w:r>
          </w:p>
        </w:tc>
        <w:tc>
          <w:tcPr>
            <w:tcW w:w="2311" w:type="dxa"/>
            <w:tcBorders>
              <w:bottom w:val="single" w:sz="4" w:space="0" w:color="auto"/>
            </w:tcBorders>
          </w:tcPr>
          <w:p w:rsidR="00E015D5" w:rsidRDefault="00E015D5" w:rsidP="00C8693B">
            <w:pPr>
              <w:pStyle w:val="Default"/>
              <w:jc w:val="center"/>
              <w:rPr>
                <w:sz w:val="22"/>
                <w:szCs w:val="22"/>
              </w:rPr>
            </w:pPr>
            <w:r>
              <w:rPr>
                <w:sz w:val="22"/>
                <w:szCs w:val="22"/>
              </w:rPr>
              <w:t>£750</w:t>
            </w:r>
          </w:p>
        </w:tc>
        <w:tc>
          <w:tcPr>
            <w:tcW w:w="2311" w:type="dxa"/>
            <w:tcBorders>
              <w:bottom w:val="single" w:sz="4" w:space="0" w:color="auto"/>
            </w:tcBorders>
          </w:tcPr>
          <w:p w:rsidR="00E015D5" w:rsidRDefault="00E015D5" w:rsidP="00C8693B">
            <w:pPr>
              <w:pStyle w:val="Default"/>
              <w:jc w:val="center"/>
              <w:rPr>
                <w:sz w:val="22"/>
                <w:szCs w:val="22"/>
              </w:rPr>
            </w:pPr>
            <w:r>
              <w:rPr>
                <w:sz w:val="22"/>
                <w:szCs w:val="22"/>
              </w:rPr>
              <w:t>£4,500</w:t>
            </w:r>
          </w:p>
        </w:tc>
      </w:tr>
      <w:tr w:rsidR="00E015D5" w:rsidTr="00E015D5">
        <w:tc>
          <w:tcPr>
            <w:tcW w:w="9242" w:type="dxa"/>
            <w:gridSpan w:val="4"/>
            <w:tcBorders>
              <w:left w:val="nil"/>
              <w:right w:val="nil"/>
            </w:tcBorders>
          </w:tcPr>
          <w:p w:rsidR="00E015D5" w:rsidRDefault="00E015D5" w:rsidP="004B20C5">
            <w:pPr>
              <w:pStyle w:val="Default"/>
              <w:rPr>
                <w:sz w:val="22"/>
                <w:szCs w:val="22"/>
              </w:rPr>
            </w:pPr>
          </w:p>
          <w:p w:rsidR="00E015D5" w:rsidRDefault="00B53910" w:rsidP="004B20C5">
            <w:pPr>
              <w:pStyle w:val="Default"/>
              <w:rPr>
                <w:sz w:val="22"/>
                <w:szCs w:val="22"/>
              </w:rPr>
            </w:pPr>
            <w:r>
              <w:rPr>
                <w:sz w:val="22"/>
                <w:szCs w:val="22"/>
              </w:rPr>
              <w:t>High C</w:t>
            </w:r>
            <w:r w:rsidR="00E015D5" w:rsidRPr="00E015D5">
              <w:rPr>
                <w:sz w:val="22"/>
                <w:szCs w:val="22"/>
              </w:rPr>
              <w:t>ulpability</w:t>
            </w:r>
          </w:p>
        </w:tc>
      </w:tr>
      <w:tr w:rsidR="00E015D5" w:rsidTr="00E015D5">
        <w:tc>
          <w:tcPr>
            <w:tcW w:w="2310" w:type="dxa"/>
          </w:tcPr>
          <w:p w:rsidR="00E015D5" w:rsidRDefault="00E015D5" w:rsidP="00EE5298">
            <w:pPr>
              <w:pStyle w:val="Default"/>
              <w:rPr>
                <w:sz w:val="22"/>
                <w:szCs w:val="22"/>
              </w:rPr>
            </w:pPr>
            <w:r w:rsidRPr="00E015D5">
              <w:rPr>
                <w:sz w:val="22"/>
                <w:szCs w:val="22"/>
              </w:rPr>
              <w:t>Harm category 3</w:t>
            </w:r>
          </w:p>
        </w:tc>
        <w:tc>
          <w:tcPr>
            <w:tcW w:w="2310" w:type="dxa"/>
          </w:tcPr>
          <w:p w:rsidR="00E015D5" w:rsidRDefault="00E015D5" w:rsidP="00C8693B">
            <w:pPr>
              <w:pStyle w:val="Default"/>
              <w:jc w:val="center"/>
              <w:rPr>
                <w:sz w:val="22"/>
                <w:szCs w:val="22"/>
              </w:rPr>
            </w:pPr>
            <w:r>
              <w:rPr>
                <w:sz w:val="22"/>
                <w:szCs w:val="22"/>
              </w:rPr>
              <w:t>£1,000</w:t>
            </w:r>
          </w:p>
        </w:tc>
        <w:tc>
          <w:tcPr>
            <w:tcW w:w="2311" w:type="dxa"/>
          </w:tcPr>
          <w:p w:rsidR="00E015D5" w:rsidRDefault="00E015D5" w:rsidP="00C8693B">
            <w:pPr>
              <w:pStyle w:val="Default"/>
              <w:jc w:val="center"/>
              <w:rPr>
                <w:sz w:val="22"/>
                <w:szCs w:val="22"/>
              </w:rPr>
            </w:pPr>
            <w:r>
              <w:rPr>
                <w:sz w:val="22"/>
                <w:szCs w:val="22"/>
              </w:rPr>
              <w:t>£500</w:t>
            </w:r>
          </w:p>
        </w:tc>
        <w:tc>
          <w:tcPr>
            <w:tcW w:w="2311" w:type="dxa"/>
          </w:tcPr>
          <w:p w:rsidR="00E015D5" w:rsidRDefault="00E015D5" w:rsidP="00C8693B">
            <w:pPr>
              <w:pStyle w:val="Default"/>
              <w:jc w:val="center"/>
              <w:rPr>
                <w:sz w:val="22"/>
                <w:szCs w:val="22"/>
              </w:rPr>
            </w:pPr>
            <w:r>
              <w:rPr>
                <w:sz w:val="22"/>
                <w:szCs w:val="22"/>
              </w:rPr>
              <w:t>£2,250</w:t>
            </w:r>
          </w:p>
        </w:tc>
      </w:tr>
      <w:tr w:rsidR="00E015D5" w:rsidTr="00E015D5">
        <w:tc>
          <w:tcPr>
            <w:tcW w:w="2310" w:type="dxa"/>
          </w:tcPr>
          <w:p w:rsidR="00E015D5" w:rsidRDefault="00E015D5" w:rsidP="00EE5298">
            <w:pPr>
              <w:pStyle w:val="Default"/>
              <w:rPr>
                <w:sz w:val="22"/>
                <w:szCs w:val="22"/>
              </w:rPr>
            </w:pPr>
            <w:r w:rsidRPr="00E015D5">
              <w:rPr>
                <w:sz w:val="22"/>
                <w:szCs w:val="22"/>
              </w:rPr>
              <w:t>Harm category 2</w:t>
            </w:r>
          </w:p>
        </w:tc>
        <w:tc>
          <w:tcPr>
            <w:tcW w:w="2310" w:type="dxa"/>
          </w:tcPr>
          <w:p w:rsidR="00E015D5" w:rsidRDefault="00E015D5" w:rsidP="00C8693B">
            <w:pPr>
              <w:pStyle w:val="Default"/>
              <w:jc w:val="center"/>
              <w:rPr>
                <w:sz w:val="22"/>
                <w:szCs w:val="22"/>
              </w:rPr>
            </w:pPr>
            <w:r>
              <w:rPr>
                <w:sz w:val="22"/>
                <w:szCs w:val="22"/>
              </w:rPr>
              <w:t>£3,000</w:t>
            </w:r>
          </w:p>
        </w:tc>
        <w:tc>
          <w:tcPr>
            <w:tcW w:w="2311" w:type="dxa"/>
          </w:tcPr>
          <w:p w:rsidR="00E015D5" w:rsidRDefault="00E015D5" w:rsidP="00C8693B">
            <w:pPr>
              <w:pStyle w:val="Default"/>
              <w:jc w:val="center"/>
              <w:rPr>
                <w:sz w:val="22"/>
                <w:szCs w:val="22"/>
              </w:rPr>
            </w:pPr>
            <w:r>
              <w:rPr>
                <w:sz w:val="22"/>
                <w:szCs w:val="22"/>
              </w:rPr>
              <w:t>£1,000</w:t>
            </w:r>
          </w:p>
        </w:tc>
        <w:tc>
          <w:tcPr>
            <w:tcW w:w="2311" w:type="dxa"/>
          </w:tcPr>
          <w:p w:rsidR="00E015D5" w:rsidRDefault="00E015D5" w:rsidP="00C8693B">
            <w:pPr>
              <w:pStyle w:val="Default"/>
              <w:jc w:val="center"/>
              <w:rPr>
                <w:sz w:val="22"/>
                <w:szCs w:val="22"/>
              </w:rPr>
            </w:pPr>
            <w:r>
              <w:rPr>
                <w:sz w:val="22"/>
                <w:szCs w:val="22"/>
              </w:rPr>
              <w:t>£5,500</w:t>
            </w:r>
          </w:p>
        </w:tc>
      </w:tr>
      <w:tr w:rsidR="00E015D5" w:rsidTr="00E015D5">
        <w:tc>
          <w:tcPr>
            <w:tcW w:w="2310" w:type="dxa"/>
            <w:tcBorders>
              <w:bottom w:val="single" w:sz="4" w:space="0" w:color="auto"/>
            </w:tcBorders>
          </w:tcPr>
          <w:p w:rsidR="00E015D5" w:rsidRDefault="00E015D5" w:rsidP="00EE5298">
            <w:pPr>
              <w:pStyle w:val="Default"/>
              <w:rPr>
                <w:sz w:val="22"/>
                <w:szCs w:val="22"/>
              </w:rPr>
            </w:pPr>
            <w:r>
              <w:rPr>
                <w:sz w:val="22"/>
                <w:szCs w:val="22"/>
              </w:rPr>
              <w:t>Harm category 1</w:t>
            </w:r>
          </w:p>
        </w:tc>
        <w:tc>
          <w:tcPr>
            <w:tcW w:w="2310" w:type="dxa"/>
            <w:tcBorders>
              <w:bottom w:val="single" w:sz="4" w:space="0" w:color="auto"/>
            </w:tcBorders>
          </w:tcPr>
          <w:p w:rsidR="00E015D5" w:rsidRDefault="00E015D5" w:rsidP="00C8693B">
            <w:pPr>
              <w:pStyle w:val="Default"/>
              <w:jc w:val="center"/>
              <w:rPr>
                <w:sz w:val="22"/>
                <w:szCs w:val="22"/>
              </w:rPr>
            </w:pPr>
            <w:r>
              <w:rPr>
                <w:sz w:val="22"/>
                <w:szCs w:val="22"/>
              </w:rPr>
              <w:t>£6,250</w:t>
            </w:r>
          </w:p>
        </w:tc>
        <w:tc>
          <w:tcPr>
            <w:tcW w:w="2311" w:type="dxa"/>
            <w:tcBorders>
              <w:bottom w:val="single" w:sz="4" w:space="0" w:color="auto"/>
            </w:tcBorders>
          </w:tcPr>
          <w:p w:rsidR="00E015D5" w:rsidRDefault="00E015D5" w:rsidP="00C8693B">
            <w:pPr>
              <w:pStyle w:val="Default"/>
              <w:jc w:val="center"/>
              <w:rPr>
                <w:sz w:val="22"/>
                <w:szCs w:val="22"/>
              </w:rPr>
            </w:pPr>
            <w:r>
              <w:rPr>
                <w:sz w:val="22"/>
                <w:szCs w:val="22"/>
              </w:rPr>
              <w:t>£2,500</w:t>
            </w:r>
          </w:p>
        </w:tc>
        <w:tc>
          <w:tcPr>
            <w:tcW w:w="2311" w:type="dxa"/>
            <w:tcBorders>
              <w:bottom w:val="single" w:sz="4" w:space="0" w:color="auto"/>
            </w:tcBorders>
          </w:tcPr>
          <w:p w:rsidR="00E015D5" w:rsidRDefault="00E015D5" w:rsidP="00C8693B">
            <w:pPr>
              <w:pStyle w:val="Default"/>
              <w:jc w:val="center"/>
              <w:rPr>
                <w:sz w:val="22"/>
                <w:szCs w:val="22"/>
              </w:rPr>
            </w:pPr>
            <w:r>
              <w:rPr>
                <w:sz w:val="22"/>
                <w:szCs w:val="22"/>
              </w:rPr>
              <w:t>£12,500</w:t>
            </w:r>
          </w:p>
        </w:tc>
      </w:tr>
      <w:tr w:rsidR="00E015D5" w:rsidTr="00E015D5">
        <w:tc>
          <w:tcPr>
            <w:tcW w:w="9242" w:type="dxa"/>
            <w:gridSpan w:val="4"/>
            <w:tcBorders>
              <w:left w:val="nil"/>
              <w:right w:val="nil"/>
            </w:tcBorders>
          </w:tcPr>
          <w:p w:rsidR="00B53910" w:rsidRDefault="00B53910" w:rsidP="004B20C5">
            <w:pPr>
              <w:pStyle w:val="Default"/>
              <w:rPr>
                <w:sz w:val="22"/>
                <w:szCs w:val="22"/>
              </w:rPr>
            </w:pPr>
          </w:p>
          <w:p w:rsidR="00E015D5" w:rsidRDefault="00B53910" w:rsidP="004B20C5">
            <w:pPr>
              <w:pStyle w:val="Default"/>
              <w:rPr>
                <w:sz w:val="22"/>
                <w:szCs w:val="22"/>
              </w:rPr>
            </w:pPr>
            <w:r>
              <w:rPr>
                <w:sz w:val="22"/>
                <w:szCs w:val="22"/>
              </w:rPr>
              <w:t>Very High C</w:t>
            </w:r>
            <w:r w:rsidR="00E015D5" w:rsidRPr="00E015D5">
              <w:rPr>
                <w:sz w:val="22"/>
                <w:szCs w:val="22"/>
              </w:rPr>
              <w:t>ulpability</w:t>
            </w:r>
          </w:p>
        </w:tc>
      </w:tr>
      <w:tr w:rsidR="00E015D5" w:rsidTr="00E015D5">
        <w:tc>
          <w:tcPr>
            <w:tcW w:w="2310" w:type="dxa"/>
          </w:tcPr>
          <w:p w:rsidR="00E015D5" w:rsidRDefault="00E015D5" w:rsidP="00EE5298">
            <w:pPr>
              <w:pStyle w:val="Default"/>
              <w:rPr>
                <w:sz w:val="22"/>
                <w:szCs w:val="22"/>
              </w:rPr>
            </w:pPr>
            <w:r w:rsidRPr="00E015D5">
              <w:rPr>
                <w:sz w:val="22"/>
                <w:szCs w:val="22"/>
              </w:rPr>
              <w:t>Harm category 3</w:t>
            </w:r>
          </w:p>
        </w:tc>
        <w:tc>
          <w:tcPr>
            <w:tcW w:w="2310" w:type="dxa"/>
          </w:tcPr>
          <w:p w:rsidR="00E015D5" w:rsidRDefault="00E015D5" w:rsidP="00C8693B">
            <w:pPr>
              <w:pStyle w:val="Default"/>
              <w:jc w:val="center"/>
              <w:rPr>
                <w:sz w:val="22"/>
                <w:szCs w:val="22"/>
              </w:rPr>
            </w:pPr>
            <w:r>
              <w:rPr>
                <w:sz w:val="22"/>
                <w:szCs w:val="22"/>
              </w:rPr>
              <w:t>£2,500</w:t>
            </w:r>
          </w:p>
        </w:tc>
        <w:tc>
          <w:tcPr>
            <w:tcW w:w="2311" w:type="dxa"/>
          </w:tcPr>
          <w:p w:rsidR="00E015D5" w:rsidRDefault="00E015D5" w:rsidP="00C8693B">
            <w:pPr>
              <w:pStyle w:val="Default"/>
              <w:jc w:val="center"/>
              <w:rPr>
                <w:sz w:val="22"/>
                <w:szCs w:val="22"/>
              </w:rPr>
            </w:pPr>
            <w:r>
              <w:rPr>
                <w:sz w:val="22"/>
                <w:szCs w:val="22"/>
              </w:rPr>
              <w:t>£1,250</w:t>
            </w:r>
          </w:p>
        </w:tc>
        <w:tc>
          <w:tcPr>
            <w:tcW w:w="2311" w:type="dxa"/>
          </w:tcPr>
          <w:p w:rsidR="00E015D5" w:rsidRDefault="00E015D5" w:rsidP="00C8693B">
            <w:pPr>
              <w:pStyle w:val="Default"/>
              <w:jc w:val="center"/>
              <w:rPr>
                <w:sz w:val="22"/>
                <w:szCs w:val="22"/>
              </w:rPr>
            </w:pPr>
            <w:r>
              <w:rPr>
                <w:sz w:val="22"/>
                <w:szCs w:val="22"/>
              </w:rPr>
              <w:t>£4,500</w:t>
            </w:r>
          </w:p>
        </w:tc>
      </w:tr>
      <w:tr w:rsidR="00E015D5" w:rsidTr="00E015D5">
        <w:tc>
          <w:tcPr>
            <w:tcW w:w="2310" w:type="dxa"/>
          </w:tcPr>
          <w:p w:rsidR="00E015D5" w:rsidRDefault="00E015D5" w:rsidP="00EE5298">
            <w:pPr>
              <w:pStyle w:val="Default"/>
              <w:rPr>
                <w:sz w:val="22"/>
                <w:szCs w:val="22"/>
              </w:rPr>
            </w:pPr>
            <w:r w:rsidRPr="00E015D5">
              <w:rPr>
                <w:sz w:val="22"/>
                <w:szCs w:val="22"/>
              </w:rPr>
              <w:t>Harm category 2</w:t>
            </w:r>
          </w:p>
        </w:tc>
        <w:tc>
          <w:tcPr>
            <w:tcW w:w="2310" w:type="dxa"/>
          </w:tcPr>
          <w:p w:rsidR="00E015D5" w:rsidRDefault="00E015D5" w:rsidP="00C8693B">
            <w:pPr>
              <w:pStyle w:val="Default"/>
              <w:jc w:val="center"/>
              <w:rPr>
                <w:sz w:val="22"/>
                <w:szCs w:val="22"/>
              </w:rPr>
            </w:pPr>
            <w:r>
              <w:rPr>
                <w:sz w:val="22"/>
                <w:szCs w:val="22"/>
              </w:rPr>
              <w:t>£6,250</w:t>
            </w:r>
          </w:p>
        </w:tc>
        <w:tc>
          <w:tcPr>
            <w:tcW w:w="2311" w:type="dxa"/>
          </w:tcPr>
          <w:p w:rsidR="00E015D5" w:rsidRDefault="00E015D5" w:rsidP="00C8693B">
            <w:pPr>
              <w:pStyle w:val="Default"/>
              <w:jc w:val="center"/>
              <w:rPr>
                <w:sz w:val="22"/>
                <w:szCs w:val="22"/>
              </w:rPr>
            </w:pPr>
            <w:r>
              <w:rPr>
                <w:sz w:val="22"/>
                <w:szCs w:val="22"/>
              </w:rPr>
              <w:t>£2,500</w:t>
            </w:r>
          </w:p>
        </w:tc>
        <w:tc>
          <w:tcPr>
            <w:tcW w:w="2311" w:type="dxa"/>
          </w:tcPr>
          <w:p w:rsidR="00E015D5" w:rsidRDefault="00E015D5" w:rsidP="00C8693B">
            <w:pPr>
              <w:pStyle w:val="Default"/>
              <w:jc w:val="center"/>
              <w:rPr>
                <w:sz w:val="22"/>
                <w:szCs w:val="22"/>
              </w:rPr>
            </w:pPr>
            <w:r>
              <w:rPr>
                <w:sz w:val="22"/>
                <w:szCs w:val="22"/>
              </w:rPr>
              <w:t>£12,500</w:t>
            </w:r>
          </w:p>
        </w:tc>
      </w:tr>
      <w:tr w:rsidR="00E015D5" w:rsidTr="00E015D5">
        <w:tc>
          <w:tcPr>
            <w:tcW w:w="2310" w:type="dxa"/>
          </w:tcPr>
          <w:p w:rsidR="00E015D5" w:rsidRDefault="00E015D5" w:rsidP="00EE5298">
            <w:pPr>
              <w:pStyle w:val="Default"/>
              <w:rPr>
                <w:sz w:val="22"/>
                <w:szCs w:val="22"/>
              </w:rPr>
            </w:pPr>
            <w:r>
              <w:rPr>
                <w:sz w:val="22"/>
                <w:szCs w:val="22"/>
              </w:rPr>
              <w:t>Harm category 1</w:t>
            </w:r>
          </w:p>
        </w:tc>
        <w:tc>
          <w:tcPr>
            <w:tcW w:w="2310" w:type="dxa"/>
          </w:tcPr>
          <w:p w:rsidR="00E015D5" w:rsidRDefault="00E015D5" w:rsidP="00C8693B">
            <w:pPr>
              <w:pStyle w:val="Default"/>
              <w:jc w:val="center"/>
              <w:rPr>
                <w:sz w:val="22"/>
                <w:szCs w:val="22"/>
              </w:rPr>
            </w:pPr>
            <w:r>
              <w:rPr>
                <w:sz w:val="22"/>
                <w:szCs w:val="22"/>
              </w:rPr>
              <w:t>£15,000</w:t>
            </w:r>
          </w:p>
        </w:tc>
        <w:tc>
          <w:tcPr>
            <w:tcW w:w="2311" w:type="dxa"/>
          </w:tcPr>
          <w:p w:rsidR="00E015D5" w:rsidRDefault="00E015D5" w:rsidP="00C8693B">
            <w:pPr>
              <w:pStyle w:val="Default"/>
              <w:jc w:val="center"/>
              <w:rPr>
                <w:sz w:val="22"/>
                <w:szCs w:val="22"/>
              </w:rPr>
            </w:pPr>
            <w:r>
              <w:rPr>
                <w:sz w:val="22"/>
                <w:szCs w:val="22"/>
              </w:rPr>
              <w:t>£6,250</w:t>
            </w:r>
          </w:p>
        </w:tc>
        <w:tc>
          <w:tcPr>
            <w:tcW w:w="2311" w:type="dxa"/>
          </w:tcPr>
          <w:p w:rsidR="00E015D5" w:rsidRDefault="00E015D5" w:rsidP="00C8693B">
            <w:pPr>
              <w:pStyle w:val="Default"/>
              <w:jc w:val="center"/>
              <w:rPr>
                <w:sz w:val="22"/>
                <w:szCs w:val="22"/>
              </w:rPr>
            </w:pPr>
            <w:r>
              <w:rPr>
                <w:sz w:val="22"/>
                <w:szCs w:val="22"/>
              </w:rPr>
              <w:t>£30,000</w:t>
            </w:r>
          </w:p>
        </w:tc>
      </w:tr>
    </w:tbl>
    <w:p w:rsidR="00E015D5" w:rsidRDefault="00E015D5" w:rsidP="004B20C5">
      <w:pPr>
        <w:pStyle w:val="Default"/>
        <w:rPr>
          <w:sz w:val="22"/>
          <w:szCs w:val="22"/>
        </w:rPr>
      </w:pPr>
    </w:p>
    <w:p w:rsidR="004B20C5" w:rsidRDefault="004B20C5" w:rsidP="004B20C5">
      <w:pPr>
        <w:pStyle w:val="Default"/>
        <w:rPr>
          <w:b/>
          <w:bCs/>
          <w:sz w:val="22"/>
          <w:szCs w:val="22"/>
        </w:rPr>
      </w:pPr>
      <w:r>
        <w:rPr>
          <w:b/>
          <w:bCs/>
          <w:sz w:val="22"/>
          <w:szCs w:val="22"/>
        </w:rPr>
        <w:t xml:space="preserve">Context </w:t>
      </w:r>
    </w:p>
    <w:p w:rsidR="00E015D5" w:rsidRDefault="00E015D5" w:rsidP="004B20C5">
      <w:pPr>
        <w:pStyle w:val="Default"/>
        <w:rPr>
          <w:sz w:val="22"/>
          <w:szCs w:val="22"/>
        </w:rPr>
      </w:pPr>
    </w:p>
    <w:p w:rsidR="004B20C5" w:rsidRDefault="004B20C5" w:rsidP="004B20C5">
      <w:pPr>
        <w:pStyle w:val="Default"/>
        <w:rPr>
          <w:sz w:val="22"/>
          <w:szCs w:val="22"/>
        </w:rPr>
      </w:pPr>
      <w:r>
        <w:rPr>
          <w:sz w:val="22"/>
          <w:szCs w:val="22"/>
        </w:rPr>
        <w:t xml:space="preserve">Below is a list of some, but not all factual elements that provide the context of the offence and factors relating to the offender. Identify whether any combination of these, or other relevant factors, should result in an upward or downward adjustment from the starting point. </w:t>
      </w:r>
      <w:r>
        <w:rPr>
          <w:b/>
          <w:bCs/>
          <w:i/>
          <w:iCs/>
          <w:sz w:val="22"/>
          <w:szCs w:val="22"/>
        </w:rPr>
        <w:t>In particular, relevant recent convictions</w:t>
      </w:r>
      <w:r w:rsidR="00686B17">
        <w:rPr>
          <w:rStyle w:val="FootnoteReference"/>
          <w:b/>
          <w:bCs/>
          <w:i/>
          <w:iCs/>
          <w:sz w:val="22"/>
          <w:szCs w:val="22"/>
        </w:rPr>
        <w:footnoteReference w:id="3"/>
      </w:r>
      <w:r>
        <w:rPr>
          <w:b/>
          <w:bCs/>
          <w:i/>
          <w:iCs/>
          <w:sz w:val="14"/>
          <w:szCs w:val="14"/>
        </w:rPr>
        <w:t xml:space="preserve"> </w:t>
      </w:r>
      <w:r>
        <w:rPr>
          <w:b/>
          <w:bCs/>
          <w:i/>
          <w:iCs/>
          <w:sz w:val="22"/>
          <w:szCs w:val="22"/>
        </w:rPr>
        <w:t>are likely to result in a substantial upward adjustment</w:t>
      </w:r>
      <w:r>
        <w:rPr>
          <w:sz w:val="22"/>
          <w:szCs w:val="22"/>
        </w:rPr>
        <w:t xml:space="preserve">. In some cases, having considered these factors, it may be appropriate to move outside the identified category range. </w:t>
      </w:r>
    </w:p>
    <w:p w:rsidR="00E015D5" w:rsidRDefault="00E015D5" w:rsidP="004B20C5">
      <w:pPr>
        <w:pStyle w:val="Default"/>
        <w:rPr>
          <w:sz w:val="22"/>
          <w:szCs w:val="22"/>
        </w:rPr>
      </w:pPr>
    </w:p>
    <w:p w:rsidR="004B20C5" w:rsidRDefault="004B20C5" w:rsidP="004B20C5">
      <w:pPr>
        <w:pStyle w:val="Default"/>
        <w:rPr>
          <w:sz w:val="22"/>
          <w:szCs w:val="22"/>
        </w:rPr>
      </w:pPr>
      <w:r>
        <w:rPr>
          <w:i/>
          <w:iCs/>
          <w:sz w:val="22"/>
          <w:szCs w:val="22"/>
        </w:rPr>
        <w:t xml:space="preserve">Factors increasing seriousness </w:t>
      </w:r>
    </w:p>
    <w:p w:rsidR="004B20C5" w:rsidRDefault="004B20C5" w:rsidP="004B20C5">
      <w:pPr>
        <w:pStyle w:val="Default"/>
        <w:rPr>
          <w:sz w:val="22"/>
          <w:szCs w:val="22"/>
        </w:rPr>
      </w:pPr>
    </w:p>
    <w:p w:rsidR="004B20C5" w:rsidRDefault="004B20C5" w:rsidP="004B20C5">
      <w:pPr>
        <w:pStyle w:val="Default"/>
        <w:rPr>
          <w:sz w:val="22"/>
          <w:szCs w:val="22"/>
        </w:rPr>
      </w:pPr>
      <w:r>
        <w:rPr>
          <w:sz w:val="22"/>
          <w:szCs w:val="22"/>
        </w:rPr>
        <w:t xml:space="preserve">Statutory aggravating factors: </w:t>
      </w:r>
    </w:p>
    <w:p w:rsidR="004B20C5" w:rsidRDefault="004B20C5" w:rsidP="00E015D5">
      <w:pPr>
        <w:pStyle w:val="Default"/>
        <w:numPr>
          <w:ilvl w:val="0"/>
          <w:numId w:val="6"/>
        </w:numPr>
        <w:rPr>
          <w:sz w:val="22"/>
          <w:szCs w:val="22"/>
        </w:rPr>
      </w:pPr>
      <w:r>
        <w:rPr>
          <w:sz w:val="22"/>
          <w:szCs w:val="22"/>
        </w:rPr>
        <w:t xml:space="preserve">Previous convictions, having regard to </w:t>
      </w:r>
    </w:p>
    <w:p w:rsidR="00E015D5" w:rsidRDefault="00E015D5" w:rsidP="004B20C5">
      <w:pPr>
        <w:pStyle w:val="Default"/>
        <w:rPr>
          <w:sz w:val="22"/>
          <w:szCs w:val="22"/>
        </w:rPr>
      </w:pPr>
    </w:p>
    <w:p w:rsidR="00FA6E31" w:rsidRPr="004C6D1B" w:rsidRDefault="004B20C5" w:rsidP="00FA6E31">
      <w:pPr>
        <w:pStyle w:val="Default"/>
        <w:numPr>
          <w:ilvl w:val="0"/>
          <w:numId w:val="7"/>
        </w:numPr>
        <w:rPr>
          <w:sz w:val="22"/>
          <w:szCs w:val="22"/>
        </w:rPr>
      </w:pPr>
      <w:r>
        <w:rPr>
          <w:sz w:val="22"/>
          <w:szCs w:val="22"/>
        </w:rPr>
        <w:t xml:space="preserve">the nature of the offence to which the conviction relates and its relevance to the current offence; </w:t>
      </w:r>
    </w:p>
    <w:p w:rsidR="00686B17" w:rsidRDefault="00686B17" w:rsidP="003B1998">
      <w:pPr>
        <w:pStyle w:val="Default"/>
        <w:ind w:firstLine="720"/>
        <w:rPr>
          <w:sz w:val="22"/>
          <w:szCs w:val="22"/>
        </w:rPr>
      </w:pPr>
    </w:p>
    <w:p w:rsidR="004B20C5" w:rsidRDefault="004B20C5" w:rsidP="003B1998">
      <w:pPr>
        <w:pStyle w:val="Default"/>
        <w:ind w:firstLine="720"/>
        <w:rPr>
          <w:sz w:val="22"/>
          <w:szCs w:val="22"/>
        </w:rPr>
      </w:pPr>
      <w:proofErr w:type="gramStart"/>
      <w:r>
        <w:rPr>
          <w:sz w:val="22"/>
          <w:szCs w:val="22"/>
        </w:rPr>
        <w:t>and</w:t>
      </w:r>
      <w:proofErr w:type="gramEnd"/>
      <w:r>
        <w:rPr>
          <w:sz w:val="22"/>
          <w:szCs w:val="22"/>
        </w:rPr>
        <w:t xml:space="preserve"> </w:t>
      </w:r>
    </w:p>
    <w:p w:rsidR="00FA6E31" w:rsidRDefault="00FA6E31" w:rsidP="003B1998">
      <w:pPr>
        <w:pStyle w:val="Default"/>
        <w:ind w:firstLine="720"/>
        <w:rPr>
          <w:sz w:val="22"/>
          <w:szCs w:val="22"/>
        </w:rPr>
      </w:pPr>
    </w:p>
    <w:p w:rsidR="004B20C5" w:rsidRDefault="004B20C5" w:rsidP="00E015D5">
      <w:pPr>
        <w:pStyle w:val="Default"/>
        <w:numPr>
          <w:ilvl w:val="0"/>
          <w:numId w:val="7"/>
        </w:numPr>
        <w:rPr>
          <w:sz w:val="22"/>
          <w:szCs w:val="22"/>
        </w:rPr>
      </w:pPr>
      <w:r>
        <w:rPr>
          <w:sz w:val="22"/>
          <w:szCs w:val="22"/>
        </w:rPr>
        <w:t xml:space="preserve">the time that has elapsed since the conviction </w:t>
      </w:r>
    </w:p>
    <w:p w:rsidR="004B20C5" w:rsidRDefault="004B20C5" w:rsidP="004B20C5">
      <w:pPr>
        <w:pStyle w:val="Default"/>
        <w:rPr>
          <w:sz w:val="22"/>
          <w:szCs w:val="22"/>
        </w:rPr>
      </w:pPr>
    </w:p>
    <w:p w:rsidR="004B20C5" w:rsidRDefault="004B20C5" w:rsidP="00E015D5">
      <w:pPr>
        <w:pStyle w:val="Default"/>
        <w:numPr>
          <w:ilvl w:val="0"/>
          <w:numId w:val="6"/>
        </w:numPr>
        <w:rPr>
          <w:sz w:val="22"/>
          <w:szCs w:val="22"/>
        </w:rPr>
      </w:pPr>
      <w:r>
        <w:rPr>
          <w:sz w:val="22"/>
          <w:szCs w:val="22"/>
        </w:rPr>
        <w:t xml:space="preserve">Other aggravating factors include: </w:t>
      </w:r>
    </w:p>
    <w:p w:rsidR="004B20C5" w:rsidRDefault="004B20C5" w:rsidP="00E015D5">
      <w:pPr>
        <w:pStyle w:val="Default"/>
        <w:numPr>
          <w:ilvl w:val="0"/>
          <w:numId w:val="6"/>
        </w:numPr>
        <w:rPr>
          <w:sz w:val="22"/>
          <w:szCs w:val="22"/>
        </w:rPr>
      </w:pPr>
      <w:r>
        <w:rPr>
          <w:sz w:val="22"/>
          <w:szCs w:val="22"/>
        </w:rPr>
        <w:t xml:space="preserve">Motivated by financial gain </w:t>
      </w:r>
    </w:p>
    <w:p w:rsidR="004B20C5" w:rsidRDefault="004B20C5" w:rsidP="00E015D5">
      <w:pPr>
        <w:pStyle w:val="Default"/>
        <w:numPr>
          <w:ilvl w:val="0"/>
          <w:numId w:val="6"/>
        </w:numPr>
        <w:rPr>
          <w:sz w:val="22"/>
          <w:szCs w:val="22"/>
        </w:rPr>
      </w:pPr>
      <w:r>
        <w:rPr>
          <w:sz w:val="22"/>
          <w:szCs w:val="22"/>
        </w:rPr>
        <w:t xml:space="preserve">Deliberate concealment of illegal nature of activity </w:t>
      </w:r>
    </w:p>
    <w:p w:rsidR="004B20C5" w:rsidRDefault="004B20C5" w:rsidP="00E015D5">
      <w:pPr>
        <w:pStyle w:val="Default"/>
        <w:numPr>
          <w:ilvl w:val="0"/>
          <w:numId w:val="6"/>
        </w:numPr>
        <w:rPr>
          <w:rFonts w:ascii="Calibri" w:hAnsi="Calibri" w:cs="Calibri"/>
          <w:sz w:val="22"/>
          <w:szCs w:val="22"/>
        </w:rPr>
      </w:pPr>
      <w:r>
        <w:rPr>
          <w:sz w:val="22"/>
          <w:szCs w:val="22"/>
        </w:rPr>
        <w:t xml:space="preserve">Established evidence of wider/community impact </w:t>
      </w:r>
    </w:p>
    <w:p w:rsidR="004B20C5" w:rsidRDefault="004B20C5" w:rsidP="00E015D5">
      <w:pPr>
        <w:pStyle w:val="Default"/>
        <w:numPr>
          <w:ilvl w:val="0"/>
          <w:numId w:val="6"/>
        </w:numPr>
        <w:rPr>
          <w:sz w:val="22"/>
          <w:szCs w:val="22"/>
        </w:rPr>
      </w:pPr>
      <w:r>
        <w:rPr>
          <w:sz w:val="22"/>
          <w:szCs w:val="22"/>
        </w:rPr>
        <w:lastRenderedPageBreak/>
        <w:t xml:space="preserve">Obstruction of justice </w:t>
      </w:r>
    </w:p>
    <w:p w:rsidR="004B20C5" w:rsidRDefault="004B20C5" w:rsidP="00E015D5">
      <w:pPr>
        <w:pStyle w:val="Default"/>
        <w:numPr>
          <w:ilvl w:val="0"/>
          <w:numId w:val="6"/>
        </w:numPr>
        <w:rPr>
          <w:sz w:val="22"/>
          <w:szCs w:val="22"/>
        </w:rPr>
      </w:pPr>
      <w:r>
        <w:rPr>
          <w:sz w:val="22"/>
          <w:szCs w:val="22"/>
        </w:rPr>
        <w:t xml:space="preserve">Record of providing substandard accommodation </w:t>
      </w:r>
    </w:p>
    <w:p w:rsidR="004B20C5" w:rsidRDefault="004B20C5" w:rsidP="00E015D5">
      <w:pPr>
        <w:pStyle w:val="Default"/>
        <w:numPr>
          <w:ilvl w:val="0"/>
          <w:numId w:val="6"/>
        </w:numPr>
        <w:rPr>
          <w:sz w:val="22"/>
          <w:szCs w:val="22"/>
        </w:rPr>
      </w:pPr>
      <w:r>
        <w:rPr>
          <w:sz w:val="22"/>
          <w:szCs w:val="22"/>
        </w:rPr>
        <w:t xml:space="preserve">Record of poor management or not meeting legal requirements. </w:t>
      </w:r>
    </w:p>
    <w:p w:rsidR="004B20C5" w:rsidRDefault="004B20C5" w:rsidP="00E015D5">
      <w:pPr>
        <w:pStyle w:val="Default"/>
        <w:numPr>
          <w:ilvl w:val="0"/>
          <w:numId w:val="6"/>
        </w:numPr>
        <w:rPr>
          <w:sz w:val="22"/>
          <w:szCs w:val="22"/>
        </w:rPr>
      </w:pPr>
      <w:r>
        <w:rPr>
          <w:sz w:val="22"/>
          <w:szCs w:val="22"/>
        </w:rPr>
        <w:t xml:space="preserve">Refusal of free advice or training </w:t>
      </w:r>
    </w:p>
    <w:p w:rsidR="004B20C5" w:rsidRDefault="004B20C5" w:rsidP="00E015D5">
      <w:pPr>
        <w:pStyle w:val="Default"/>
        <w:numPr>
          <w:ilvl w:val="0"/>
          <w:numId w:val="6"/>
        </w:numPr>
        <w:rPr>
          <w:sz w:val="22"/>
          <w:szCs w:val="22"/>
        </w:rPr>
      </w:pPr>
      <w:r>
        <w:rPr>
          <w:sz w:val="22"/>
          <w:szCs w:val="22"/>
        </w:rPr>
        <w:t xml:space="preserve">member of Accreditation scheme </w:t>
      </w:r>
    </w:p>
    <w:p w:rsidR="004B20C5" w:rsidRDefault="004B20C5" w:rsidP="004B20C5">
      <w:pPr>
        <w:pStyle w:val="Default"/>
        <w:rPr>
          <w:sz w:val="22"/>
          <w:szCs w:val="22"/>
        </w:rPr>
      </w:pPr>
    </w:p>
    <w:p w:rsidR="00E015D5" w:rsidRDefault="004B20C5" w:rsidP="004B20C5">
      <w:pPr>
        <w:pStyle w:val="Default"/>
        <w:rPr>
          <w:i/>
          <w:iCs/>
          <w:sz w:val="22"/>
          <w:szCs w:val="22"/>
        </w:rPr>
      </w:pPr>
      <w:r>
        <w:rPr>
          <w:i/>
          <w:iCs/>
          <w:sz w:val="22"/>
          <w:szCs w:val="22"/>
        </w:rPr>
        <w:t>Factors reducing seriousness or reflecting personal mitigation</w:t>
      </w:r>
    </w:p>
    <w:p w:rsidR="004B20C5" w:rsidRDefault="004B20C5" w:rsidP="004B20C5">
      <w:pPr>
        <w:pStyle w:val="Default"/>
        <w:rPr>
          <w:sz w:val="22"/>
          <w:szCs w:val="22"/>
        </w:rPr>
      </w:pPr>
    </w:p>
    <w:p w:rsidR="004B20C5" w:rsidRDefault="004B20C5" w:rsidP="00E015D5">
      <w:pPr>
        <w:pStyle w:val="Default"/>
        <w:numPr>
          <w:ilvl w:val="0"/>
          <w:numId w:val="8"/>
        </w:numPr>
        <w:rPr>
          <w:sz w:val="22"/>
          <w:szCs w:val="22"/>
        </w:rPr>
      </w:pPr>
      <w:r>
        <w:rPr>
          <w:sz w:val="22"/>
          <w:szCs w:val="22"/>
        </w:rPr>
        <w:t xml:space="preserve">No previous convictions or no relevant/recent convictions </w:t>
      </w:r>
    </w:p>
    <w:p w:rsidR="004B20C5" w:rsidRDefault="004B20C5" w:rsidP="00E015D5">
      <w:pPr>
        <w:pStyle w:val="Default"/>
        <w:numPr>
          <w:ilvl w:val="0"/>
          <w:numId w:val="8"/>
        </w:numPr>
        <w:rPr>
          <w:sz w:val="22"/>
          <w:szCs w:val="22"/>
        </w:rPr>
      </w:pPr>
      <w:r>
        <w:rPr>
          <w:sz w:val="22"/>
          <w:szCs w:val="22"/>
        </w:rPr>
        <w:t xml:space="preserve">Steps voluntarily taken to remedy problem </w:t>
      </w:r>
    </w:p>
    <w:p w:rsidR="004B20C5" w:rsidRDefault="004B20C5" w:rsidP="00E015D5">
      <w:pPr>
        <w:pStyle w:val="Default"/>
        <w:numPr>
          <w:ilvl w:val="0"/>
          <w:numId w:val="8"/>
        </w:numPr>
        <w:rPr>
          <w:sz w:val="22"/>
          <w:szCs w:val="22"/>
        </w:rPr>
      </w:pPr>
      <w:r>
        <w:rPr>
          <w:sz w:val="22"/>
          <w:szCs w:val="22"/>
        </w:rPr>
        <w:t xml:space="preserve">High level of co-operation with the investigation, beyond that which will always be expected </w:t>
      </w:r>
    </w:p>
    <w:p w:rsidR="004B20C5" w:rsidRDefault="004B20C5" w:rsidP="00E015D5">
      <w:pPr>
        <w:pStyle w:val="Default"/>
        <w:numPr>
          <w:ilvl w:val="0"/>
          <w:numId w:val="8"/>
        </w:numPr>
        <w:rPr>
          <w:sz w:val="22"/>
          <w:szCs w:val="22"/>
        </w:rPr>
      </w:pPr>
      <w:r>
        <w:rPr>
          <w:sz w:val="22"/>
          <w:szCs w:val="22"/>
        </w:rPr>
        <w:t xml:space="preserve">Good record of maintaining property </w:t>
      </w:r>
    </w:p>
    <w:p w:rsidR="004B20C5" w:rsidRDefault="004B20C5" w:rsidP="00E015D5">
      <w:pPr>
        <w:pStyle w:val="Default"/>
        <w:numPr>
          <w:ilvl w:val="0"/>
          <w:numId w:val="8"/>
        </w:numPr>
        <w:rPr>
          <w:sz w:val="22"/>
          <w:szCs w:val="22"/>
        </w:rPr>
      </w:pPr>
      <w:r>
        <w:rPr>
          <w:sz w:val="22"/>
          <w:szCs w:val="22"/>
        </w:rPr>
        <w:t xml:space="preserve">Self-reporting, co-operation and acceptance of responsibility </w:t>
      </w:r>
    </w:p>
    <w:p w:rsidR="004B20C5" w:rsidRDefault="004B20C5" w:rsidP="00E015D5">
      <w:pPr>
        <w:pStyle w:val="Default"/>
        <w:numPr>
          <w:ilvl w:val="0"/>
          <w:numId w:val="8"/>
        </w:numPr>
        <w:rPr>
          <w:sz w:val="22"/>
          <w:szCs w:val="22"/>
        </w:rPr>
      </w:pPr>
      <w:r>
        <w:rPr>
          <w:sz w:val="22"/>
          <w:szCs w:val="22"/>
        </w:rPr>
        <w:t xml:space="preserve">Good character and/or exemplary conduct </w:t>
      </w:r>
    </w:p>
    <w:p w:rsidR="004B20C5" w:rsidRDefault="004B20C5" w:rsidP="00E015D5">
      <w:pPr>
        <w:pStyle w:val="Default"/>
        <w:numPr>
          <w:ilvl w:val="0"/>
          <w:numId w:val="8"/>
        </w:numPr>
        <w:rPr>
          <w:sz w:val="22"/>
          <w:szCs w:val="22"/>
        </w:rPr>
      </w:pPr>
      <w:r>
        <w:rPr>
          <w:sz w:val="22"/>
          <w:szCs w:val="22"/>
        </w:rPr>
        <w:t xml:space="preserve">Mental disorder or learning disability, where linked to the commission of the offence </w:t>
      </w:r>
    </w:p>
    <w:p w:rsidR="004B20C5" w:rsidRDefault="004B20C5" w:rsidP="00E015D5">
      <w:pPr>
        <w:pStyle w:val="Default"/>
        <w:numPr>
          <w:ilvl w:val="0"/>
          <w:numId w:val="8"/>
        </w:numPr>
        <w:rPr>
          <w:sz w:val="22"/>
          <w:szCs w:val="22"/>
        </w:rPr>
      </w:pPr>
      <w:r>
        <w:rPr>
          <w:sz w:val="22"/>
          <w:szCs w:val="22"/>
        </w:rPr>
        <w:t xml:space="preserve">Serious medical conditions requiring urgent, intensive or long-term treatment </w:t>
      </w:r>
    </w:p>
    <w:p w:rsidR="004B20C5" w:rsidRDefault="004B20C5" w:rsidP="00E015D5">
      <w:pPr>
        <w:pStyle w:val="Default"/>
        <w:numPr>
          <w:ilvl w:val="0"/>
          <w:numId w:val="8"/>
        </w:numPr>
        <w:rPr>
          <w:sz w:val="22"/>
          <w:szCs w:val="22"/>
        </w:rPr>
      </w:pPr>
      <w:r>
        <w:rPr>
          <w:sz w:val="22"/>
          <w:szCs w:val="22"/>
        </w:rPr>
        <w:t xml:space="preserve">Age and/or lack of maturity where it affects the responsibility of the offender </w:t>
      </w:r>
    </w:p>
    <w:p w:rsidR="004B20C5" w:rsidRDefault="004B20C5" w:rsidP="00E015D5">
      <w:pPr>
        <w:pStyle w:val="Default"/>
        <w:numPr>
          <w:ilvl w:val="0"/>
          <w:numId w:val="8"/>
        </w:numPr>
        <w:rPr>
          <w:sz w:val="22"/>
          <w:szCs w:val="22"/>
        </w:rPr>
      </w:pPr>
      <w:r>
        <w:rPr>
          <w:sz w:val="22"/>
          <w:szCs w:val="22"/>
        </w:rPr>
        <w:t xml:space="preserve">Sole or primary carer for dependent relatives </w:t>
      </w:r>
    </w:p>
    <w:p w:rsidR="004B20C5" w:rsidRDefault="004B20C5" w:rsidP="004B20C5">
      <w:pPr>
        <w:pStyle w:val="Default"/>
        <w:rPr>
          <w:sz w:val="22"/>
          <w:szCs w:val="22"/>
        </w:rPr>
      </w:pPr>
    </w:p>
    <w:p w:rsidR="004B20C5" w:rsidRDefault="004B20C5" w:rsidP="004B20C5">
      <w:pPr>
        <w:pStyle w:val="Default"/>
        <w:rPr>
          <w:sz w:val="28"/>
          <w:szCs w:val="28"/>
        </w:rPr>
      </w:pPr>
      <w:r>
        <w:rPr>
          <w:b/>
          <w:bCs/>
          <w:sz w:val="28"/>
          <w:szCs w:val="28"/>
        </w:rPr>
        <w:t xml:space="preserve">STEP THREE - Review any financial element of the penalty </w:t>
      </w:r>
    </w:p>
    <w:p w:rsidR="004B20C5" w:rsidRDefault="004B20C5" w:rsidP="004B20C5">
      <w:pPr>
        <w:pStyle w:val="Default"/>
        <w:rPr>
          <w:sz w:val="22"/>
          <w:szCs w:val="22"/>
        </w:rPr>
      </w:pPr>
    </w:p>
    <w:p w:rsidR="004B20C5" w:rsidRDefault="004B20C5" w:rsidP="004B20C5">
      <w:pPr>
        <w:pStyle w:val="Default"/>
        <w:rPr>
          <w:sz w:val="22"/>
          <w:szCs w:val="22"/>
        </w:rPr>
      </w:pPr>
      <w:r>
        <w:rPr>
          <w:sz w:val="22"/>
          <w:szCs w:val="22"/>
        </w:rPr>
        <w:t xml:space="preserve">Check whether the proposed level of financial penalty is proportionate to the overall means of the offender. The Council may increase or reduce the proposed fine reached at step two, if necessary moving outside of the range in the table above. </w:t>
      </w:r>
    </w:p>
    <w:p w:rsidR="00E015D5" w:rsidRDefault="00E015D5" w:rsidP="004B20C5">
      <w:pPr>
        <w:pStyle w:val="Default"/>
        <w:rPr>
          <w:sz w:val="22"/>
          <w:szCs w:val="22"/>
        </w:rPr>
      </w:pPr>
    </w:p>
    <w:p w:rsidR="004B20C5" w:rsidRDefault="004B20C5" w:rsidP="004B20C5">
      <w:pPr>
        <w:pStyle w:val="Default"/>
        <w:rPr>
          <w:sz w:val="22"/>
          <w:szCs w:val="22"/>
        </w:rPr>
      </w:pPr>
      <w:r>
        <w:rPr>
          <w:sz w:val="22"/>
          <w:szCs w:val="22"/>
        </w:rPr>
        <w:t xml:space="preserve">Full regard should be given to the totality principle at step seven where multiple offences are involved. </w:t>
      </w:r>
    </w:p>
    <w:p w:rsidR="004B20C5" w:rsidRDefault="004B20C5" w:rsidP="004B20C5">
      <w:pPr>
        <w:pStyle w:val="Default"/>
        <w:rPr>
          <w:b/>
          <w:bCs/>
          <w:i/>
          <w:iCs/>
          <w:sz w:val="22"/>
          <w:szCs w:val="22"/>
        </w:rPr>
      </w:pPr>
    </w:p>
    <w:p w:rsidR="004B20C5" w:rsidRDefault="004B20C5" w:rsidP="004B20C5">
      <w:pPr>
        <w:pStyle w:val="Default"/>
        <w:rPr>
          <w:b/>
          <w:bCs/>
          <w:i/>
          <w:iCs/>
          <w:sz w:val="22"/>
          <w:szCs w:val="22"/>
        </w:rPr>
      </w:pPr>
      <w:r>
        <w:rPr>
          <w:b/>
          <w:bCs/>
          <w:i/>
          <w:iCs/>
          <w:sz w:val="22"/>
          <w:szCs w:val="22"/>
        </w:rPr>
        <w:t xml:space="preserve">General principles to follow in setting a penalty </w:t>
      </w:r>
    </w:p>
    <w:p w:rsidR="00E015D5" w:rsidRDefault="00E015D5" w:rsidP="004B20C5">
      <w:pPr>
        <w:pStyle w:val="Default"/>
        <w:rPr>
          <w:sz w:val="22"/>
          <w:szCs w:val="22"/>
        </w:rPr>
      </w:pPr>
    </w:p>
    <w:p w:rsidR="004B20C5" w:rsidRDefault="004B20C5" w:rsidP="004B20C5">
      <w:pPr>
        <w:pStyle w:val="Default"/>
        <w:rPr>
          <w:sz w:val="22"/>
          <w:szCs w:val="22"/>
        </w:rPr>
      </w:pPr>
      <w:r>
        <w:rPr>
          <w:sz w:val="22"/>
          <w:szCs w:val="22"/>
        </w:rPr>
        <w:t xml:space="preserve">The Council should finalise the appropriate level of penalty so that it reflects the seriousness of the offence and the Council must take into account the financial circumstances of the offender. </w:t>
      </w:r>
    </w:p>
    <w:p w:rsidR="004B20C5" w:rsidRDefault="004B20C5" w:rsidP="004B20C5">
      <w:pPr>
        <w:pStyle w:val="Default"/>
        <w:rPr>
          <w:sz w:val="22"/>
          <w:szCs w:val="22"/>
        </w:rPr>
      </w:pPr>
    </w:p>
    <w:p w:rsidR="004B20C5" w:rsidRDefault="004B20C5" w:rsidP="004B20C5">
      <w:pPr>
        <w:pStyle w:val="Default"/>
        <w:rPr>
          <w:sz w:val="22"/>
          <w:szCs w:val="22"/>
        </w:rPr>
      </w:pPr>
      <w:r>
        <w:rPr>
          <w:sz w:val="22"/>
          <w:szCs w:val="22"/>
        </w:rPr>
        <w:t xml:space="preserve">The level of financial penalty should reflect the extent to which the offender fell below the required standard. </w:t>
      </w:r>
      <w:r>
        <w:rPr>
          <w:b/>
          <w:bCs/>
          <w:sz w:val="22"/>
          <w:szCs w:val="22"/>
        </w:rPr>
        <w:t xml:space="preserve">The financial penalty should meet, in a fair and proportionate way, the objectives of punishment, deterrence and the removal of gain derived through the commission of the offence; </w:t>
      </w:r>
      <w:r>
        <w:rPr>
          <w:sz w:val="22"/>
          <w:szCs w:val="22"/>
        </w:rPr>
        <w:t xml:space="preserve">it should not be cheaper to offend than to take the appropriate precautions. </w:t>
      </w:r>
    </w:p>
    <w:p w:rsidR="003B1998" w:rsidRDefault="003B1998" w:rsidP="004B20C5">
      <w:pPr>
        <w:pStyle w:val="Default"/>
        <w:rPr>
          <w:sz w:val="22"/>
          <w:szCs w:val="22"/>
        </w:rPr>
      </w:pPr>
    </w:p>
    <w:p w:rsidR="004B20C5" w:rsidRDefault="004B20C5" w:rsidP="004B20C5">
      <w:pPr>
        <w:pStyle w:val="Default"/>
        <w:rPr>
          <w:sz w:val="22"/>
          <w:szCs w:val="22"/>
        </w:rPr>
      </w:pPr>
      <w:r>
        <w:rPr>
          <w:sz w:val="22"/>
          <w:szCs w:val="22"/>
        </w:rPr>
        <w:t xml:space="preserve">The principle behind issuing civil penalty notices is that there is no financial gain to the alleged perpetrator of the relevant offences and </w:t>
      </w:r>
      <w:proofErr w:type="gramStart"/>
      <w:r>
        <w:rPr>
          <w:sz w:val="22"/>
          <w:szCs w:val="22"/>
        </w:rPr>
        <w:t>that funds</w:t>
      </w:r>
      <w:proofErr w:type="gramEnd"/>
      <w:r>
        <w:rPr>
          <w:sz w:val="22"/>
          <w:szCs w:val="22"/>
        </w:rPr>
        <w:t xml:space="preserve"> from the financial penalties should fund private rented sector teams in the Council. To cover the costs of the work put into the serving any financial </w:t>
      </w:r>
      <w:proofErr w:type="gramStart"/>
      <w:r>
        <w:rPr>
          <w:sz w:val="22"/>
          <w:szCs w:val="22"/>
        </w:rPr>
        <w:t>penalty notice</w:t>
      </w:r>
      <w:proofErr w:type="gramEnd"/>
      <w:r>
        <w:rPr>
          <w:sz w:val="22"/>
          <w:szCs w:val="22"/>
        </w:rPr>
        <w:t xml:space="preserve"> the costs of serving the notice will be added to the overall penalty. This will also act as a deterrent to non-compliant landlords as it is clear that landlords or agents who do not apply will know that they will have to pay for the cost of any enforcement action (where that has not been recovered under other powers). </w:t>
      </w:r>
    </w:p>
    <w:p w:rsidR="00E015D5" w:rsidRDefault="00E015D5" w:rsidP="004B20C5">
      <w:pPr>
        <w:pStyle w:val="Default"/>
        <w:rPr>
          <w:sz w:val="22"/>
          <w:szCs w:val="22"/>
        </w:rPr>
      </w:pPr>
    </w:p>
    <w:p w:rsidR="00B2361F" w:rsidRDefault="00B2361F">
      <w:pPr>
        <w:rPr>
          <w:rFonts w:ascii="Arial" w:hAnsi="Arial" w:cs="Arial"/>
        </w:rPr>
      </w:pPr>
      <w:r>
        <w:br w:type="page"/>
      </w:r>
    </w:p>
    <w:p w:rsidR="004B20C5" w:rsidRDefault="004B20C5" w:rsidP="004B20C5">
      <w:pPr>
        <w:pStyle w:val="Default"/>
        <w:rPr>
          <w:sz w:val="22"/>
          <w:szCs w:val="22"/>
        </w:rPr>
      </w:pPr>
      <w:proofErr w:type="gramStart"/>
      <w:r>
        <w:rPr>
          <w:sz w:val="22"/>
          <w:szCs w:val="22"/>
        </w:rPr>
        <w:lastRenderedPageBreak/>
        <w:t>and</w:t>
      </w:r>
      <w:proofErr w:type="gramEnd"/>
      <w:r>
        <w:rPr>
          <w:sz w:val="22"/>
          <w:szCs w:val="22"/>
        </w:rPr>
        <w:t xml:space="preserve"> this will be added to the penalty as a deterrent to non-compliant landlords or agents. This may be reduced or increased where a case is either very straightforward or alternatively takes longer than normal. </w:t>
      </w:r>
    </w:p>
    <w:p w:rsidR="004B20C5" w:rsidRDefault="004B20C5" w:rsidP="004B20C5">
      <w:pPr>
        <w:pStyle w:val="Default"/>
        <w:rPr>
          <w:b/>
          <w:bCs/>
          <w:i/>
          <w:iCs/>
          <w:sz w:val="22"/>
          <w:szCs w:val="22"/>
        </w:rPr>
      </w:pPr>
    </w:p>
    <w:p w:rsidR="004B20C5" w:rsidRDefault="004B20C5" w:rsidP="004B20C5">
      <w:pPr>
        <w:pStyle w:val="Default"/>
        <w:rPr>
          <w:b/>
          <w:bCs/>
          <w:i/>
          <w:iCs/>
          <w:sz w:val="22"/>
          <w:szCs w:val="22"/>
        </w:rPr>
      </w:pPr>
      <w:r>
        <w:rPr>
          <w:b/>
          <w:bCs/>
          <w:i/>
          <w:iCs/>
          <w:sz w:val="22"/>
          <w:szCs w:val="22"/>
        </w:rPr>
        <w:t>Review of the penalty</w:t>
      </w:r>
    </w:p>
    <w:p w:rsidR="004B20C5" w:rsidRDefault="004B20C5" w:rsidP="004B20C5">
      <w:pPr>
        <w:pStyle w:val="Default"/>
        <w:rPr>
          <w:b/>
          <w:bCs/>
          <w:i/>
          <w:iCs/>
          <w:sz w:val="22"/>
          <w:szCs w:val="22"/>
        </w:rPr>
      </w:pPr>
    </w:p>
    <w:p w:rsidR="004B20C5" w:rsidRDefault="004B20C5" w:rsidP="004B20C5">
      <w:pPr>
        <w:pStyle w:val="Default"/>
        <w:rPr>
          <w:sz w:val="22"/>
          <w:szCs w:val="22"/>
        </w:rPr>
      </w:pPr>
      <w:r>
        <w:rPr>
          <w:sz w:val="22"/>
          <w:szCs w:val="22"/>
        </w:rPr>
        <w:t xml:space="preserve">The Council should review the penalty and, if necessary adjust the initial amount reached at step two to ensure that it fulfils the general principles set out above. </w:t>
      </w:r>
    </w:p>
    <w:p w:rsidR="00E015D5" w:rsidRDefault="00E015D5" w:rsidP="004B20C5">
      <w:pPr>
        <w:pStyle w:val="Default"/>
        <w:rPr>
          <w:sz w:val="22"/>
          <w:szCs w:val="22"/>
        </w:rPr>
      </w:pPr>
    </w:p>
    <w:p w:rsidR="004B20C5" w:rsidRDefault="004B20C5" w:rsidP="004B20C5">
      <w:pPr>
        <w:pStyle w:val="Default"/>
        <w:rPr>
          <w:sz w:val="22"/>
          <w:szCs w:val="22"/>
        </w:rPr>
      </w:pPr>
      <w:r>
        <w:rPr>
          <w:sz w:val="22"/>
          <w:szCs w:val="22"/>
        </w:rPr>
        <w:t xml:space="preserve">Any quantifiable economic benefit derived from the offence, including through avoided costs or operating savings, should normally be added to the total financial penalty arrived at in step two. Where this is not readily available, the Council may draw on information available from enforcing authorities and others about the general costs of operating within the law. Whether the penalty will have the effect of putting the offender out of business will be relevant but in some serious cases this might be an acceptable outcome. </w:t>
      </w:r>
    </w:p>
    <w:p w:rsidR="004B20C5" w:rsidRDefault="004B20C5" w:rsidP="004B20C5">
      <w:pPr>
        <w:pStyle w:val="Default"/>
        <w:rPr>
          <w:b/>
          <w:bCs/>
          <w:sz w:val="28"/>
          <w:szCs w:val="28"/>
        </w:rPr>
      </w:pPr>
    </w:p>
    <w:p w:rsidR="004B20C5" w:rsidRDefault="004B20C5" w:rsidP="004B20C5">
      <w:pPr>
        <w:pStyle w:val="Default"/>
        <w:rPr>
          <w:sz w:val="28"/>
          <w:szCs w:val="28"/>
        </w:rPr>
      </w:pPr>
      <w:r>
        <w:rPr>
          <w:b/>
          <w:bCs/>
          <w:sz w:val="28"/>
          <w:szCs w:val="28"/>
        </w:rPr>
        <w:t xml:space="preserve">STEP FOUR - Reductions </w:t>
      </w:r>
    </w:p>
    <w:p w:rsidR="004B20C5" w:rsidRDefault="004B20C5" w:rsidP="004B20C5">
      <w:pPr>
        <w:pStyle w:val="Default"/>
        <w:rPr>
          <w:sz w:val="22"/>
          <w:szCs w:val="22"/>
        </w:rPr>
      </w:pPr>
    </w:p>
    <w:p w:rsidR="004B20C5" w:rsidRDefault="004B20C5" w:rsidP="004B20C5">
      <w:pPr>
        <w:pStyle w:val="Default"/>
        <w:rPr>
          <w:sz w:val="22"/>
          <w:szCs w:val="22"/>
        </w:rPr>
      </w:pPr>
      <w:r>
        <w:rPr>
          <w:sz w:val="22"/>
          <w:szCs w:val="22"/>
        </w:rPr>
        <w:t xml:space="preserve">Consider any factors which indicate a reduction in the penalty and in so doing the LA should have regard to the following factors relating to the wider impacts of the financial penalty on innocent third parties; such as (but not limited to): </w:t>
      </w:r>
    </w:p>
    <w:p w:rsidR="00E015D5" w:rsidRDefault="00E015D5" w:rsidP="004B20C5">
      <w:pPr>
        <w:pStyle w:val="Default"/>
        <w:rPr>
          <w:sz w:val="22"/>
          <w:szCs w:val="22"/>
        </w:rPr>
      </w:pPr>
    </w:p>
    <w:p w:rsidR="004B20C5" w:rsidRDefault="004B20C5" w:rsidP="00E015D5">
      <w:pPr>
        <w:pStyle w:val="Default"/>
        <w:numPr>
          <w:ilvl w:val="0"/>
          <w:numId w:val="9"/>
        </w:numPr>
        <w:rPr>
          <w:sz w:val="22"/>
          <w:szCs w:val="22"/>
        </w:rPr>
      </w:pPr>
      <w:r>
        <w:rPr>
          <w:sz w:val="22"/>
          <w:szCs w:val="22"/>
        </w:rPr>
        <w:t xml:space="preserve">impact of the financial penalty on offender’s ability to comply with the law or make restitution to victims; </w:t>
      </w:r>
    </w:p>
    <w:p w:rsidR="00C8693B" w:rsidRDefault="00C8693B" w:rsidP="00C8693B">
      <w:pPr>
        <w:pStyle w:val="Default"/>
        <w:rPr>
          <w:sz w:val="22"/>
          <w:szCs w:val="22"/>
        </w:rPr>
      </w:pPr>
    </w:p>
    <w:p w:rsidR="004B20C5" w:rsidRDefault="004B20C5" w:rsidP="00E015D5">
      <w:pPr>
        <w:pStyle w:val="Default"/>
        <w:numPr>
          <w:ilvl w:val="0"/>
          <w:numId w:val="9"/>
        </w:numPr>
        <w:rPr>
          <w:sz w:val="22"/>
          <w:szCs w:val="22"/>
        </w:rPr>
      </w:pPr>
      <w:proofErr w:type="gramStart"/>
      <w:r>
        <w:rPr>
          <w:sz w:val="22"/>
          <w:szCs w:val="22"/>
        </w:rPr>
        <w:t>impact</w:t>
      </w:r>
      <w:proofErr w:type="gramEnd"/>
      <w:r>
        <w:rPr>
          <w:sz w:val="22"/>
          <w:szCs w:val="22"/>
        </w:rPr>
        <w:t xml:space="preserve"> of the financial penalty on employment of staff, service users, customers and local economy. </w:t>
      </w:r>
    </w:p>
    <w:p w:rsidR="004B20C5" w:rsidRDefault="004B20C5" w:rsidP="004B20C5">
      <w:pPr>
        <w:pStyle w:val="Default"/>
        <w:rPr>
          <w:sz w:val="22"/>
          <w:szCs w:val="22"/>
        </w:rPr>
      </w:pPr>
    </w:p>
    <w:p w:rsidR="004B20C5" w:rsidRDefault="004B20C5" w:rsidP="004B20C5">
      <w:pPr>
        <w:pStyle w:val="Default"/>
        <w:rPr>
          <w:sz w:val="28"/>
          <w:szCs w:val="28"/>
        </w:rPr>
      </w:pPr>
      <w:r>
        <w:rPr>
          <w:b/>
          <w:bCs/>
          <w:sz w:val="28"/>
          <w:szCs w:val="28"/>
        </w:rPr>
        <w:t xml:space="preserve">STEP FIVE – Reduction for early admission of guilt </w:t>
      </w:r>
    </w:p>
    <w:p w:rsidR="004B20C5" w:rsidRDefault="004B20C5" w:rsidP="004B20C5">
      <w:pPr>
        <w:pStyle w:val="Default"/>
        <w:rPr>
          <w:sz w:val="22"/>
          <w:szCs w:val="22"/>
        </w:rPr>
      </w:pPr>
    </w:p>
    <w:p w:rsidR="004B20C5" w:rsidRDefault="004B20C5" w:rsidP="004B20C5">
      <w:pPr>
        <w:pStyle w:val="Default"/>
        <w:rPr>
          <w:sz w:val="22"/>
          <w:szCs w:val="22"/>
        </w:rPr>
      </w:pPr>
      <w:r>
        <w:rPr>
          <w:sz w:val="22"/>
          <w:szCs w:val="22"/>
        </w:rPr>
        <w:t xml:space="preserve">The Council will take into account a potential reduction in penalty for an admission of guilt. </w:t>
      </w:r>
    </w:p>
    <w:p w:rsidR="004B20C5" w:rsidRDefault="004B20C5" w:rsidP="004B20C5">
      <w:pPr>
        <w:pStyle w:val="Default"/>
        <w:rPr>
          <w:sz w:val="22"/>
          <w:szCs w:val="22"/>
        </w:rPr>
      </w:pPr>
      <w:r>
        <w:rPr>
          <w:sz w:val="22"/>
          <w:szCs w:val="22"/>
        </w:rPr>
        <w:t xml:space="preserve">The following factors will be considered in setting the level of reduction. When deciding on any reduction in a financial penalty, consideration will be given to: </w:t>
      </w:r>
    </w:p>
    <w:p w:rsidR="00E015D5" w:rsidRDefault="00E015D5" w:rsidP="004B20C5">
      <w:pPr>
        <w:pStyle w:val="Default"/>
        <w:rPr>
          <w:sz w:val="22"/>
          <w:szCs w:val="22"/>
        </w:rPr>
      </w:pPr>
    </w:p>
    <w:p w:rsidR="004B20C5" w:rsidRDefault="004B20C5" w:rsidP="00E015D5">
      <w:pPr>
        <w:pStyle w:val="Default"/>
        <w:numPr>
          <w:ilvl w:val="0"/>
          <w:numId w:val="10"/>
        </w:numPr>
        <w:rPr>
          <w:sz w:val="22"/>
          <w:szCs w:val="22"/>
        </w:rPr>
      </w:pPr>
      <w:r>
        <w:rPr>
          <w:sz w:val="22"/>
          <w:szCs w:val="22"/>
        </w:rPr>
        <w:t xml:space="preserve">The stage in the investigation or thereafter when the offender admitted guilt </w:t>
      </w:r>
    </w:p>
    <w:p w:rsidR="004B20C5" w:rsidRDefault="004B20C5" w:rsidP="00E015D5">
      <w:pPr>
        <w:pStyle w:val="Default"/>
        <w:numPr>
          <w:ilvl w:val="0"/>
          <w:numId w:val="10"/>
        </w:numPr>
        <w:rPr>
          <w:sz w:val="22"/>
          <w:szCs w:val="22"/>
        </w:rPr>
      </w:pPr>
      <w:r>
        <w:rPr>
          <w:sz w:val="22"/>
          <w:szCs w:val="22"/>
        </w:rPr>
        <w:t xml:space="preserve">The circumstances in which they admitted guilt </w:t>
      </w:r>
    </w:p>
    <w:p w:rsidR="004B20C5" w:rsidRDefault="004B20C5" w:rsidP="00E015D5">
      <w:pPr>
        <w:pStyle w:val="Default"/>
        <w:numPr>
          <w:ilvl w:val="0"/>
          <w:numId w:val="10"/>
        </w:numPr>
        <w:rPr>
          <w:sz w:val="22"/>
          <w:szCs w:val="22"/>
        </w:rPr>
      </w:pPr>
      <w:r>
        <w:rPr>
          <w:sz w:val="22"/>
          <w:szCs w:val="22"/>
        </w:rPr>
        <w:t xml:space="preserve">The degree of co-operation with the investigation </w:t>
      </w:r>
    </w:p>
    <w:p w:rsidR="004B20C5" w:rsidRDefault="004B20C5" w:rsidP="004B20C5">
      <w:pPr>
        <w:pStyle w:val="Default"/>
        <w:rPr>
          <w:sz w:val="22"/>
          <w:szCs w:val="22"/>
        </w:rPr>
      </w:pPr>
    </w:p>
    <w:p w:rsidR="004B20C5" w:rsidRDefault="004B20C5" w:rsidP="004B20C5">
      <w:pPr>
        <w:pStyle w:val="Default"/>
        <w:rPr>
          <w:sz w:val="22"/>
          <w:szCs w:val="22"/>
        </w:rPr>
      </w:pPr>
      <w:r>
        <w:rPr>
          <w:sz w:val="22"/>
          <w:szCs w:val="22"/>
        </w:rPr>
        <w:t xml:space="preserve">The maximum level of reduction in a penalty for an admission of guilt will be one-third. In some circumstances there will be a reduced or no level of discount. For example where the evidence of the offence is overwhelming or there is a pattern of criminal behaviour. </w:t>
      </w:r>
    </w:p>
    <w:p w:rsidR="004B20C5" w:rsidRDefault="004B20C5" w:rsidP="004B20C5">
      <w:pPr>
        <w:pStyle w:val="Default"/>
        <w:rPr>
          <w:sz w:val="22"/>
          <w:szCs w:val="22"/>
        </w:rPr>
      </w:pPr>
      <w:r>
        <w:rPr>
          <w:sz w:val="22"/>
          <w:szCs w:val="22"/>
        </w:rPr>
        <w:t xml:space="preserve">Any reduction should not result in a penalty which is less than the amount of gain from the commission of the offence itself. </w:t>
      </w:r>
    </w:p>
    <w:p w:rsidR="00686B17" w:rsidRDefault="00686B17" w:rsidP="004B20C5">
      <w:pPr>
        <w:pStyle w:val="Default"/>
        <w:rPr>
          <w:sz w:val="22"/>
          <w:szCs w:val="22"/>
        </w:rPr>
      </w:pPr>
    </w:p>
    <w:p w:rsidR="004B20C5" w:rsidRDefault="004B20C5" w:rsidP="004B20C5">
      <w:pPr>
        <w:pStyle w:val="Default"/>
        <w:rPr>
          <w:sz w:val="28"/>
          <w:szCs w:val="28"/>
        </w:rPr>
      </w:pPr>
      <w:r>
        <w:rPr>
          <w:b/>
          <w:bCs/>
          <w:sz w:val="28"/>
          <w:szCs w:val="28"/>
        </w:rPr>
        <w:t xml:space="preserve">STEP SIX - Additional actions </w:t>
      </w:r>
    </w:p>
    <w:p w:rsidR="004B20C5" w:rsidRDefault="004B20C5" w:rsidP="004B20C5">
      <w:pPr>
        <w:pStyle w:val="Default"/>
        <w:rPr>
          <w:sz w:val="22"/>
          <w:szCs w:val="22"/>
        </w:rPr>
      </w:pPr>
    </w:p>
    <w:p w:rsidR="004B20C5" w:rsidRDefault="004B20C5" w:rsidP="004B20C5">
      <w:pPr>
        <w:pStyle w:val="Default"/>
        <w:rPr>
          <w:sz w:val="22"/>
          <w:szCs w:val="22"/>
        </w:rPr>
      </w:pPr>
      <w:r>
        <w:rPr>
          <w:sz w:val="22"/>
          <w:szCs w:val="22"/>
        </w:rPr>
        <w:t xml:space="preserve">In all cases the Council must consider whether to take additional action. These may include works in default, Interim Management Orders or Rent Repayment Orders. The Council cannot however take a prosecution case for the same conduct as is the subject of a financial penalty notice. </w:t>
      </w:r>
    </w:p>
    <w:p w:rsidR="004B20C5" w:rsidRDefault="004B20C5" w:rsidP="004B20C5">
      <w:pPr>
        <w:pStyle w:val="Default"/>
        <w:rPr>
          <w:b/>
          <w:bCs/>
          <w:sz w:val="28"/>
          <w:szCs w:val="28"/>
        </w:rPr>
      </w:pPr>
    </w:p>
    <w:p w:rsidR="00B2361F" w:rsidRDefault="00B2361F" w:rsidP="004B20C5">
      <w:pPr>
        <w:pStyle w:val="Default"/>
        <w:rPr>
          <w:b/>
          <w:bCs/>
          <w:sz w:val="28"/>
          <w:szCs w:val="28"/>
        </w:rPr>
      </w:pPr>
    </w:p>
    <w:p w:rsidR="004B20C5" w:rsidRDefault="004B20C5" w:rsidP="004B20C5">
      <w:pPr>
        <w:pStyle w:val="Default"/>
        <w:rPr>
          <w:b/>
          <w:bCs/>
          <w:sz w:val="28"/>
          <w:szCs w:val="28"/>
        </w:rPr>
      </w:pPr>
      <w:r>
        <w:rPr>
          <w:b/>
          <w:bCs/>
          <w:sz w:val="28"/>
          <w:szCs w:val="28"/>
        </w:rPr>
        <w:lastRenderedPageBreak/>
        <w:t xml:space="preserve">STEP SEVEN - Totality principle </w:t>
      </w:r>
    </w:p>
    <w:p w:rsidR="00E015D5" w:rsidRDefault="00E015D5" w:rsidP="004B20C5">
      <w:pPr>
        <w:pStyle w:val="Default"/>
        <w:rPr>
          <w:sz w:val="28"/>
          <w:szCs w:val="28"/>
        </w:rPr>
      </w:pPr>
    </w:p>
    <w:p w:rsidR="00686B17" w:rsidRDefault="004B20C5" w:rsidP="004B20C5">
      <w:pPr>
        <w:pStyle w:val="Default"/>
        <w:rPr>
          <w:sz w:val="22"/>
          <w:szCs w:val="22"/>
        </w:rPr>
      </w:pPr>
      <w:r>
        <w:rPr>
          <w:sz w:val="22"/>
          <w:szCs w:val="22"/>
        </w:rPr>
        <w:t xml:space="preserve">If issuing a financial penalty for more than one offence, or where the offender has already been issued with a financial penalty, consider whether the total penalties are just and proportionate to the offending behaviour. </w:t>
      </w:r>
    </w:p>
    <w:p w:rsidR="00B2361F" w:rsidRDefault="00B2361F" w:rsidP="004B20C5">
      <w:pPr>
        <w:pStyle w:val="Default"/>
        <w:rPr>
          <w:sz w:val="22"/>
          <w:szCs w:val="22"/>
        </w:rPr>
      </w:pPr>
    </w:p>
    <w:p w:rsidR="00E015D5" w:rsidRDefault="004B20C5" w:rsidP="004B20C5">
      <w:pPr>
        <w:pStyle w:val="Default"/>
        <w:rPr>
          <w:sz w:val="22"/>
          <w:szCs w:val="22"/>
        </w:rPr>
      </w:pPr>
      <w:r>
        <w:rPr>
          <w:sz w:val="22"/>
          <w:szCs w:val="22"/>
        </w:rPr>
        <w:t xml:space="preserve">Where the offender is issued with more than one financial penalty, the Council should consider the following guidance from the definitive guideline on Offences Taken into Consideration and Totality. </w:t>
      </w:r>
      <w:hyperlink r:id="rId13" w:history="1">
        <w:r w:rsidR="00E015D5" w:rsidRPr="00E015D5">
          <w:rPr>
            <w:rStyle w:val="Hyperlink"/>
            <w:sz w:val="22"/>
            <w:szCs w:val="22"/>
          </w:rPr>
          <w:t>Total financ</w:t>
        </w:r>
        <w:r w:rsidR="00E015D5" w:rsidRPr="00E015D5">
          <w:rPr>
            <w:rStyle w:val="Hyperlink"/>
            <w:sz w:val="22"/>
            <w:szCs w:val="22"/>
          </w:rPr>
          <w:t>i</w:t>
        </w:r>
        <w:r w:rsidR="00E015D5" w:rsidRPr="00E015D5">
          <w:rPr>
            <w:rStyle w:val="Hyperlink"/>
            <w:sz w:val="22"/>
            <w:szCs w:val="22"/>
          </w:rPr>
          <w:t>al penalty is cumulative</w:t>
        </w:r>
      </w:hyperlink>
    </w:p>
    <w:p w:rsidR="004B20C5" w:rsidRDefault="004B20C5" w:rsidP="004B20C5">
      <w:pPr>
        <w:pStyle w:val="Default"/>
        <w:rPr>
          <w:sz w:val="22"/>
          <w:szCs w:val="22"/>
        </w:rPr>
      </w:pPr>
    </w:p>
    <w:p w:rsidR="004B20C5" w:rsidRDefault="004B20C5" w:rsidP="004B20C5">
      <w:pPr>
        <w:pStyle w:val="Default"/>
        <w:rPr>
          <w:sz w:val="22"/>
          <w:szCs w:val="22"/>
        </w:rPr>
      </w:pPr>
      <w:r>
        <w:rPr>
          <w:sz w:val="22"/>
          <w:szCs w:val="22"/>
        </w:rPr>
        <w:t xml:space="preserve">The Council should determine the financial penalty for each individual offence based on the seriousness of the offence and taking into account the circumstances of the case including the financial circumstances of the offender so far as they are known, or appear, to the LA. </w:t>
      </w:r>
    </w:p>
    <w:p w:rsidR="00E015D5" w:rsidRDefault="00E015D5" w:rsidP="004B20C5">
      <w:pPr>
        <w:pStyle w:val="Default"/>
        <w:rPr>
          <w:sz w:val="22"/>
          <w:szCs w:val="22"/>
        </w:rPr>
      </w:pPr>
    </w:p>
    <w:p w:rsidR="004B20C5" w:rsidRDefault="004B20C5" w:rsidP="004B20C5">
      <w:pPr>
        <w:pStyle w:val="Default"/>
        <w:rPr>
          <w:sz w:val="22"/>
          <w:szCs w:val="22"/>
        </w:rPr>
      </w:pPr>
      <w:r>
        <w:rPr>
          <w:sz w:val="22"/>
          <w:szCs w:val="22"/>
        </w:rPr>
        <w:t xml:space="preserve">The Council should add up the financial penalties for each offence and consider if they are just and proportionate. </w:t>
      </w:r>
    </w:p>
    <w:p w:rsidR="004B20C5" w:rsidRDefault="004B20C5" w:rsidP="004B20C5">
      <w:pPr>
        <w:pStyle w:val="Default"/>
        <w:rPr>
          <w:sz w:val="22"/>
          <w:szCs w:val="22"/>
        </w:rPr>
      </w:pPr>
    </w:p>
    <w:p w:rsidR="004B20C5" w:rsidRDefault="004B20C5" w:rsidP="004B20C5">
      <w:pPr>
        <w:pStyle w:val="Default"/>
        <w:rPr>
          <w:sz w:val="22"/>
          <w:szCs w:val="22"/>
        </w:rPr>
      </w:pPr>
      <w:r>
        <w:rPr>
          <w:sz w:val="22"/>
          <w:szCs w:val="22"/>
        </w:rPr>
        <w:t xml:space="preserve">If the aggregate total is not just and proportionate the Council should consider how to reach a just and proportionate financial penalties. There are a number of ways in which this can be achieved. </w:t>
      </w:r>
    </w:p>
    <w:p w:rsidR="004B20C5" w:rsidRDefault="004B20C5" w:rsidP="004B20C5">
      <w:pPr>
        <w:pStyle w:val="Default"/>
        <w:rPr>
          <w:sz w:val="22"/>
          <w:szCs w:val="22"/>
        </w:rPr>
      </w:pPr>
    </w:p>
    <w:p w:rsidR="004B20C5" w:rsidRDefault="004B20C5" w:rsidP="004B20C5">
      <w:pPr>
        <w:pStyle w:val="Default"/>
        <w:rPr>
          <w:sz w:val="22"/>
          <w:szCs w:val="22"/>
        </w:rPr>
      </w:pPr>
      <w:r>
        <w:rPr>
          <w:sz w:val="22"/>
          <w:szCs w:val="22"/>
        </w:rPr>
        <w:t xml:space="preserve">For example: </w:t>
      </w:r>
    </w:p>
    <w:p w:rsidR="004B20C5" w:rsidRDefault="004B20C5" w:rsidP="004B20C5">
      <w:pPr>
        <w:pStyle w:val="Default"/>
        <w:rPr>
          <w:sz w:val="22"/>
          <w:szCs w:val="22"/>
        </w:rPr>
      </w:pPr>
    </w:p>
    <w:p w:rsidR="004B20C5" w:rsidRDefault="004B20C5" w:rsidP="00E015D5">
      <w:pPr>
        <w:pStyle w:val="Default"/>
        <w:numPr>
          <w:ilvl w:val="0"/>
          <w:numId w:val="11"/>
        </w:numPr>
        <w:rPr>
          <w:sz w:val="22"/>
          <w:szCs w:val="22"/>
        </w:rPr>
      </w:pPr>
      <w:r>
        <w:rPr>
          <w:sz w:val="22"/>
          <w:szCs w:val="22"/>
        </w:rPr>
        <w:t xml:space="preserve">where an offender is to be penalised for two or more offences that arose out of the same incident or where there are multiple offences of a repetitive kind, especially when committed against the same person, it will often be appropriate to impose for the most serious offence a financial penalty which reflects the totality of the offending where this can be achieved within the maximum penalty for that offence. No separate penalty should be imposed for the other offences; </w:t>
      </w:r>
    </w:p>
    <w:p w:rsidR="004B20C5" w:rsidRDefault="004B20C5" w:rsidP="004B20C5">
      <w:pPr>
        <w:pStyle w:val="Default"/>
        <w:rPr>
          <w:sz w:val="22"/>
          <w:szCs w:val="22"/>
        </w:rPr>
      </w:pPr>
    </w:p>
    <w:p w:rsidR="004B20C5" w:rsidRDefault="004B20C5" w:rsidP="00E015D5">
      <w:pPr>
        <w:pStyle w:val="Default"/>
        <w:numPr>
          <w:ilvl w:val="0"/>
          <w:numId w:val="11"/>
        </w:numPr>
        <w:rPr>
          <w:sz w:val="22"/>
          <w:szCs w:val="22"/>
        </w:rPr>
      </w:pPr>
      <w:proofErr w:type="gramStart"/>
      <w:r>
        <w:rPr>
          <w:sz w:val="22"/>
          <w:szCs w:val="22"/>
        </w:rPr>
        <w:t>where</w:t>
      </w:r>
      <w:proofErr w:type="gramEnd"/>
      <w:r>
        <w:rPr>
          <w:sz w:val="22"/>
          <w:szCs w:val="22"/>
        </w:rPr>
        <w:t xml:space="preserve"> an offender is to be penalised for two or more offences that arose out of different incidents, it will often be appropriate to impose a separate financial penalties for each of the offences. The Council should add up the financial penalties for each offence and consider if they are just and proportionate. If the aggregate amount is not just and proportionate the Council should consider whether all of the financial penalties can be proportionately reduced. Separate financial penalties should then be passed. </w:t>
      </w:r>
    </w:p>
    <w:p w:rsidR="004B20C5" w:rsidRDefault="004B20C5" w:rsidP="004B20C5">
      <w:pPr>
        <w:pStyle w:val="Default"/>
        <w:rPr>
          <w:sz w:val="22"/>
          <w:szCs w:val="22"/>
        </w:rPr>
      </w:pPr>
    </w:p>
    <w:p w:rsidR="004B20C5" w:rsidRDefault="004B20C5" w:rsidP="004B20C5">
      <w:pPr>
        <w:pStyle w:val="Default"/>
        <w:rPr>
          <w:sz w:val="22"/>
          <w:szCs w:val="22"/>
        </w:rPr>
      </w:pPr>
      <w:r>
        <w:rPr>
          <w:sz w:val="22"/>
          <w:szCs w:val="22"/>
        </w:rPr>
        <w:t xml:space="preserve">Where separate financial penalties are passed, the Council must be careful to ensure that there is no double-counting.’ </w:t>
      </w:r>
    </w:p>
    <w:p w:rsidR="004B20C5" w:rsidRDefault="004B20C5" w:rsidP="004B20C5">
      <w:pPr>
        <w:pStyle w:val="Default"/>
        <w:rPr>
          <w:sz w:val="22"/>
          <w:szCs w:val="22"/>
        </w:rPr>
      </w:pPr>
    </w:p>
    <w:p w:rsidR="004B20C5" w:rsidRPr="00F7435C" w:rsidRDefault="004B20C5" w:rsidP="004B20C5">
      <w:pPr>
        <w:pStyle w:val="Default"/>
        <w:rPr>
          <w:b/>
          <w:bCs/>
          <w:sz w:val="28"/>
          <w:szCs w:val="28"/>
        </w:rPr>
      </w:pPr>
      <w:bookmarkStart w:id="0" w:name="_GoBack"/>
      <w:r w:rsidRPr="00F7435C">
        <w:rPr>
          <w:b/>
          <w:bCs/>
          <w:sz w:val="28"/>
          <w:szCs w:val="28"/>
        </w:rPr>
        <w:t xml:space="preserve">STEP EIGHT – Recording the decision </w:t>
      </w:r>
    </w:p>
    <w:bookmarkEnd w:id="0"/>
    <w:p w:rsidR="004B20C5" w:rsidRDefault="004B20C5" w:rsidP="004B20C5">
      <w:pPr>
        <w:pStyle w:val="Default"/>
        <w:rPr>
          <w:sz w:val="22"/>
          <w:szCs w:val="22"/>
        </w:rPr>
      </w:pPr>
    </w:p>
    <w:p w:rsidR="004B20C5" w:rsidRDefault="004B20C5" w:rsidP="004B20C5">
      <w:pPr>
        <w:pStyle w:val="Default"/>
        <w:rPr>
          <w:rFonts w:ascii="Calibri" w:hAnsi="Calibri" w:cs="Calibri"/>
          <w:sz w:val="22"/>
          <w:szCs w:val="22"/>
        </w:rPr>
      </w:pPr>
      <w:r>
        <w:rPr>
          <w:sz w:val="22"/>
          <w:szCs w:val="22"/>
        </w:rPr>
        <w:t xml:space="preserve">The officer making a decision about a financial penalty will record their decision giving reasons for coming to the amount of financial penalty that will be imposed. </w:t>
      </w:r>
    </w:p>
    <w:p w:rsidR="004B20C5" w:rsidRDefault="004B20C5" w:rsidP="004B20C5">
      <w:pPr>
        <w:pStyle w:val="Default"/>
        <w:pageBreakBefore/>
        <w:rPr>
          <w:sz w:val="22"/>
          <w:szCs w:val="22"/>
        </w:rPr>
      </w:pPr>
      <w:r>
        <w:rPr>
          <w:b/>
          <w:bCs/>
          <w:sz w:val="22"/>
          <w:szCs w:val="22"/>
        </w:rPr>
        <w:lastRenderedPageBreak/>
        <w:t xml:space="preserve">Appendix 3 – Non exhaustive list of vulnerable people </w:t>
      </w:r>
    </w:p>
    <w:p w:rsidR="00E015D5" w:rsidRDefault="00E015D5" w:rsidP="004B20C5">
      <w:pPr>
        <w:pStyle w:val="Default"/>
        <w:rPr>
          <w:sz w:val="22"/>
          <w:szCs w:val="22"/>
        </w:rPr>
      </w:pPr>
    </w:p>
    <w:p w:rsidR="004B20C5" w:rsidRDefault="004B20C5" w:rsidP="00C8693B">
      <w:pPr>
        <w:pStyle w:val="Default"/>
        <w:numPr>
          <w:ilvl w:val="0"/>
          <w:numId w:val="17"/>
        </w:numPr>
        <w:rPr>
          <w:sz w:val="22"/>
          <w:szCs w:val="22"/>
        </w:rPr>
      </w:pPr>
      <w:r>
        <w:rPr>
          <w:sz w:val="22"/>
          <w:szCs w:val="22"/>
        </w:rPr>
        <w:t xml:space="preserve">Young adults and children </w:t>
      </w:r>
    </w:p>
    <w:p w:rsidR="004B20C5" w:rsidRDefault="004B20C5" w:rsidP="00C8693B">
      <w:pPr>
        <w:pStyle w:val="Default"/>
        <w:numPr>
          <w:ilvl w:val="0"/>
          <w:numId w:val="17"/>
        </w:numPr>
        <w:rPr>
          <w:sz w:val="22"/>
          <w:szCs w:val="22"/>
        </w:rPr>
      </w:pPr>
      <w:r>
        <w:rPr>
          <w:sz w:val="22"/>
          <w:szCs w:val="22"/>
        </w:rPr>
        <w:t xml:space="preserve">Disabled persons </w:t>
      </w:r>
    </w:p>
    <w:p w:rsidR="004B20C5" w:rsidRDefault="004B20C5" w:rsidP="00C8693B">
      <w:pPr>
        <w:pStyle w:val="Default"/>
        <w:numPr>
          <w:ilvl w:val="0"/>
          <w:numId w:val="17"/>
        </w:numPr>
        <w:rPr>
          <w:sz w:val="22"/>
          <w:szCs w:val="22"/>
        </w:rPr>
      </w:pPr>
      <w:r>
        <w:rPr>
          <w:sz w:val="22"/>
          <w:szCs w:val="22"/>
        </w:rPr>
        <w:t xml:space="preserve">People on a low income </w:t>
      </w:r>
    </w:p>
    <w:p w:rsidR="004B20C5" w:rsidRDefault="004B20C5" w:rsidP="00C8693B">
      <w:pPr>
        <w:pStyle w:val="Default"/>
        <w:numPr>
          <w:ilvl w:val="0"/>
          <w:numId w:val="17"/>
        </w:numPr>
        <w:rPr>
          <w:sz w:val="22"/>
          <w:szCs w:val="22"/>
        </w:rPr>
      </w:pPr>
      <w:r>
        <w:rPr>
          <w:sz w:val="22"/>
          <w:szCs w:val="22"/>
        </w:rPr>
        <w:t xml:space="preserve">Persons with a Drug or alcohol addiction </w:t>
      </w:r>
    </w:p>
    <w:p w:rsidR="004B20C5" w:rsidRDefault="004B20C5" w:rsidP="00C8693B">
      <w:pPr>
        <w:pStyle w:val="Default"/>
        <w:numPr>
          <w:ilvl w:val="0"/>
          <w:numId w:val="17"/>
        </w:numPr>
        <w:rPr>
          <w:sz w:val="22"/>
          <w:szCs w:val="22"/>
        </w:rPr>
      </w:pPr>
      <w:r>
        <w:rPr>
          <w:sz w:val="22"/>
          <w:szCs w:val="22"/>
        </w:rPr>
        <w:t xml:space="preserve">Victims of domestic abuse </w:t>
      </w:r>
    </w:p>
    <w:p w:rsidR="004B20C5" w:rsidRDefault="004B20C5" w:rsidP="00C8693B">
      <w:pPr>
        <w:pStyle w:val="Default"/>
        <w:numPr>
          <w:ilvl w:val="0"/>
          <w:numId w:val="17"/>
        </w:numPr>
        <w:rPr>
          <w:sz w:val="22"/>
          <w:szCs w:val="22"/>
        </w:rPr>
      </w:pPr>
      <w:r>
        <w:rPr>
          <w:sz w:val="22"/>
          <w:szCs w:val="22"/>
        </w:rPr>
        <w:t xml:space="preserve">Looked after children </w:t>
      </w:r>
    </w:p>
    <w:p w:rsidR="004B20C5" w:rsidRDefault="004B20C5" w:rsidP="00C8693B">
      <w:pPr>
        <w:pStyle w:val="Default"/>
        <w:numPr>
          <w:ilvl w:val="0"/>
          <w:numId w:val="17"/>
        </w:numPr>
        <w:rPr>
          <w:sz w:val="22"/>
          <w:szCs w:val="22"/>
        </w:rPr>
      </w:pPr>
      <w:r>
        <w:rPr>
          <w:sz w:val="22"/>
          <w:szCs w:val="22"/>
        </w:rPr>
        <w:t xml:space="preserve">People with complex health conditions </w:t>
      </w:r>
    </w:p>
    <w:p w:rsidR="004B20C5" w:rsidRDefault="004B20C5" w:rsidP="00C8693B">
      <w:pPr>
        <w:pStyle w:val="Default"/>
        <w:numPr>
          <w:ilvl w:val="0"/>
          <w:numId w:val="17"/>
        </w:numPr>
        <w:rPr>
          <w:sz w:val="22"/>
          <w:szCs w:val="22"/>
        </w:rPr>
      </w:pPr>
      <w:r>
        <w:rPr>
          <w:sz w:val="22"/>
          <w:szCs w:val="22"/>
        </w:rPr>
        <w:t xml:space="preserve">People exploited where English is not their first language. </w:t>
      </w:r>
    </w:p>
    <w:p w:rsidR="004B20C5" w:rsidRDefault="004B20C5" w:rsidP="00C8693B">
      <w:pPr>
        <w:pStyle w:val="Default"/>
        <w:numPr>
          <w:ilvl w:val="0"/>
          <w:numId w:val="17"/>
        </w:numPr>
        <w:rPr>
          <w:sz w:val="22"/>
          <w:szCs w:val="22"/>
        </w:rPr>
      </w:pPr>
      <w:r>
        <w:rPr>
          <w:sz w:val="22"/>
          <w:szCs w:val="22"/>
        </w:rPr>
        <w:t xml:space="preserve">Victims of Trafficking or sexual exploitation </w:t>
      </w:r>
    </w:p>
    <w:p w:rsidR="004B20C5" w:rsidRDefault="004B20C5" w:rsidP="00C8693B">
      <w:pPr>
        <w:pStyle w:val="Default"/>
        <w:numPr>
          <w:ilvl w:val="0"/>
          <w:numId w:val="17"/>
        </w:numPr>
        <w:rPr>
          <w:sz w:val="22"/>
          <w:szCs w:val="22"/>
        </w:rPr>
      </w:pPr>
      <w:r>
        <w:rPr>
          <w:sz w:val="22"/>
          <w:szCs w:val="22"/>
        </w:rPr>
        <w:t xml:space="preserve">Refugees </w:t>
      </w:r>
    </w:p>
    <w:p w:rsidR="004B20C5" w:rsidRDefault="004B20C5" w:rsidP="00C8693B">
      <w:pPr>
        <w:pStyle w:val="Default"/>
        <w:numPr>
          <w:ilvl w:val="0"/>
          <w:numId w:val="17"/>
        </w:numPr>
        <w:rPr>
          <w:sz w:val="22"/>
          <w:szCs w:val="22"/>
        </w:rPr>
      </w:pPr>
      <w:r>
        <w:rPr>
          <w:sz w:val="22"/>
          <w:szCs w:val="22"/>
        </w:rPr>
        <w:t xml:space="preserve">Asylum seekers </w:t>
      </w:r>
    </w:p>
    <w:p w:rsidR="004B20C5" w:rsidRDefault="004B20C5" w:rsidP="00C8693B">
      <w:pPr>
        <w:pStyle w:val="Default"/>
        <w:numPr>
          <w:ilvl w:val="0"/>
          <w:numId w:val="17"/>
        </w:numPr>
        <w:rPr>
          <w:sz w:val="22"/>
          <w:szCs w:val="22"/>
        </w:rPr>
      </w:pPr>
      <w:r>
        <w:rPr>
          <w:sz w:val="22"/>
          <w:szCs w:val="22"/>
        </w:rPr>
        <w:t xml:space="preserve">People at risk of harassment or eviction </w:t>
      </w:r>
    </w:p>
    <w:p w:rsidR="004B20C5" w:rsidRDefault="004B20C5" w:rsidP="00C8693B">
      <w:pPr>
        <w:pStyle w:val="Default"/>
        <w:numPr>
          <w:ilvl w:val="0"/>
          <w:numId w:val="17"/>
        </w:numPr>
        <w:rPr>
          <w:sz w:val="22"/>
          <w:szCs w:val="22"/>
        </w:rPr>
      </w:pPr>
      <w:r>
        <w:rPr>
          <w:sz w:val="22"/>
          <w:szCs w:val="22"/>
        </w:rPr>
        <w:t xml:space="preserve">People at risk of homelessness. </w:t>
      </w:r>
    </w:p>
    <w:p w:rsidR="00E015D5" w:rsidRDefault="00E015D5" w:rsidP="004B20C5">
      <w:pPr>
        <w:pStyle w:val="Default"/>
        <w:rPr>
          <w:b/>
          <w:bCs/>
          <w:sz w:val="22"/>
          <w:szCs w:val="22"/>
        </w:rPr>
      </w:pPr>
    </w:p>
    <w:p w:rsidR="004B20C5" w:rsidRDefault="004B20C5" w:rsidP="004B20C5">
      <w:pPr>
        <w:pStyle w:val="Default"/>
        <w:rPr>
          <w:sz w:val="22"/>
          <w:szCs w:val="22"/>
        </w:rPr>
      </w:pPr>
      <w:r>
        <w:rPr>
          <w:b/>
          <w:bCs/>
          <w:sz w:val="22"/>
          <w:szCs w:val="22"/>
        </w:rPr>
        <w:t xml:space="preserve">Appendix 4 – Non exhaustive list of relevant offences </w:t>
      </w:r>
    </w:p>
    <w:p w:rsidR="004B20C5" w:rsidRDefault="004B20C5" w:rsidP="004B20C5">
      <w:pPr>
        <w:pStyle w:val="Default"/>
        <w:rPr>
          <w:sz w:val="22"/>
          <w:szCs w:val="22"/>
        </w:rPr>
      </w:pPr>
      <w:r>
        <w:rPr>
          <w:b/>
          <w:bCs/>
          <w:i/>
          <w:iCs/>
          <w:sz w:val="22"/>
          <w:szCs w:val="22"/>
        </w:rPr>
        <w:t xml:space="preserve">Housing law or landlord and tenant </w:t>
      </w:r>
    </w:p>
    <w:p w:rsidR="00E015D5" w:rsidRDefault="00E015D5" w:rsidP="004B20C5">
      <w:pPr>
        <w:pStyle w:val="Default"/>
        <w:rPr>
          <w:sz w:val="22"/>
          <w:szCs w:val="22"/>
        </w:rPr>
      </w:pPr>
    </w:p>
    <w:p w:rsidR="004B20C5" w:rsidRDefault="004B20C5" w:rsidP="00803BF1">
      <w:pPr>
        <w:pStyle w:val="Default"/>
        <w:numPr>
          <w:ilvl w:val="0"/>
          <w:numId w:val="12"/>
        </w:numPr>
        <w:rPr>
          <w:sz w:val="22"/>
          <w:szCs w:val="22"/>
        </w:rPr>
      </w:pPr>
      <w:r>
        <w:rPr>
          <w:sz w:val="22"/>
          <w:szCs w:val="22"/>
        </w:rPr>
        <w:t xml:space="preserve">Offences under: </w:t>
      </w:r>
    </w:p>
    <w:p w:rsidR="004B20C5" w:rsidRDefault="004B20C5" w:rsidP="00803BF1">
      <w:pPr>
        <w:pStyle w:val="Default"/>
        <w:numPr>
          <w:ilvl w:val="0"/>
          <w:numId w:val="12"/>
        </w:numPr>
        <w:rPr>
          <w:sz w:val="22"/>
          <w:szCs w:val="22"/>
        </w:rPr>
      </w:pPr>
      <w:r>
        <w:rPr>
          <w:sz w:val="22"/>
          <w:szCs w:val="22"/>
        </w:rPr>
        <w:t xml:space="preserve">The Public Health Acts of 1936 and 1961 </w:t>
      </w:r>
    </w:p>
    <w:p w:rsidR="004B20C5" w:rsidRDefault="004B20C5" w:rsidP="00803BF1">
      <w:pPr>
        <w:pStyle w:val="Default"/>
        <w:numPr>
          <w:ilvl w:val="0"/>
          <w:numId w:val="12"/>
        </w:numPr>
        <w:rPr>
          <w:sz w:val="22"/>
          <w:szCs w:val="22"/>
        </w:rPr>
      </w:pPr>
      <w:r>
        <w:rPr>
          <w:sz w:val="22"/>
          <w:szCs w:val="22"/>
        </w:rPr>
        <w:t xml:space="preserve">The Building Act 1984 </w:t>
      </w:r>
    </w:p>
    <w:p w:rsidR="004B20C5" w:rsidRDefault="004B20C5" w:rsidP="00803BF1">
      <w:pPr>
        <w:pStyle w:val="Default"/>
        <w:numPr>
          <w:ilvl w:val="0"/>
          <w:numId w:val="12"/>
        </w:numPr>
        <w:rPr>
          <w:sz w:val="22"/>
          <w:szCs w:val="22"/>
        </w:rPr>
      </w:pPr>
      <w:r>
        <w:rPr>
          <w:sz w:val="22"/>
          <w:szCs w:val="22"/>
        </w:rPr>
        <w:t xml:space="preserve">The Environmental Protection Act 1990 </w:t>
      </w:r>
    </w:p>
    <w:p w:rsidR="004B20C5" w:rsidRDefault="004B20C5" w:rsidP="00803BF1">
      <w:pPr>
        <w:pStyle w:val="Default"/>
        <w:numPr>
          <w:ilvl w:val="0"/>
          <w:numId w:val="12"/>
        </w:numPr>
        <w:rPr>
          <w:sz w:val="22"/>
          <w:szCs w:val="22"/>
        </w:rPr>
      </w:pPr>
      <w:r>
        <w:rPr>
          <w:sz w:val="22"/>
          <w:szCs w:val="22"/>
        </w:rPr>
        <w:t xml:space="preserve">The Town and Country Planning Act 1990 </w:t>
      </w:r>
    </w:p>
    <w:p w:rsidR="004B20C5" w:rsidRDefault="004B20C5" w:rsidP="00803BF1">
      <w:pPr>
        <w:pStyle w:val="Default"/>
        <w:numPr>
          <w:ilvl w:val="0"/>
          <w:numId w:val="12"/>
        </w:numPr>
        <w:rPr>
          <w:sz w:val="22"/>
          <w:szCs w:val="22"/>
        </w:rPr>
      </w:pPr>
      <w:r>
        <w:rPr>
          <w:sz w:val="22"/>
          <w:szCs w:val="22"/>
        </w:rPr>
        <w:t xml:space="preserve">The Prevention of Damage by Pests Act 1949 </w:t>
      </w:r>
    </w:p>
    <w:p w:rsidR="004B20C5" w:rsidRDefault="004B20C5" w:rsidP="00803BF1">
      <w:pPr>
        <w:pStyle w:val="Default"/>
        <w:numPr>
          <w:ilvl w:val="0"/>
          <w:numId w:val="12"/>
        </w:numPr>
        <w:rPr>
          <w:sz w:val="22"/>
          <w:szCs w:val="22"/>
        </w:rPr>
      </w:pPr>
      <w:r>
        <w:rPr>
          <w:sz w:val="22"/>
          <w:szCs w:val="22"/>
        </w:rPr>
        <w:t xml:space="preserve">The Protection from Eviction Act 1977 </w:t>
      </w:r>
    </w:p>
    <w:p w:rsidR="004B20C5" w:rsidRDefault="004B20C5" w:rsidP="00803BF1">
      <w:pPr>
        <w:pStyle w:val="Default"/>
        <w:numPr>
          <w:ilvl w:val="0"/>
          <w:numId w:val="12"/>
        </w:numPr>
        <w:rPr>
          <w:sz w:val="22"/>
          <w:szCs w:val="22"/>
        </w:rPr>
      </w:pPr>
      <w:r>
        <w:rPr>
          <w:sz w:val="22"/>
          <w:szCs w:val="22"/>
        </w:rPr>
        <w:t xml:space="preserve">The Local Government (Miscellaneous Provisions) Acts of 1982 and 1976 </w:t>
      </w:r>
    </w:p>
    <w:p w:rsidR="004B20C5" w:rsidRDefault="004B20C5" w:rsidP="00803BF1">
      <w:pPr>
        <w:pStyle w:val="Default"/>
        <w:numPr>
          <w:ilvl w:val="0"/>
          <w:numId w:val="12"/>
        </w:numPr>
        <w:rPr>
          <w:sz w:val="22"/>
          <w:szCs w:val="22"/>
        </w:rPr>
      </w:pPr>
      <w:r>
        <w:rPr>
          <w:sz w:val="22"/>
          <w:szCs w:val="22"/>
        </w:rPr>
        <w:t xml:space="preserve">The Housing Grants, Construction and Regeneration Act 1996 </w:t>
      </w:r>
    </w:p>
    <w:p w:rsidR="004B20C5" w:rsidRDefault="004B20C5" w:rsidP="00803BF1">
      <w:pPr>
        <w:pStyle w:val="Default"/>
        <w:numPr>
          <w:ilvl w:val="0"/>
          <w:numId w:val="12"/>
        </w:numPr>
        <w:rPr>
          <w:sz w:val="22"/>
          <w:szCs w:val="22"/>
        </w:rPr>
      </w:pPr>
      <w:r>
        <w:rPr>
          <w:sz w:val="22"/>
          <w:szCs w:val="22"/>
        </w:rPr>
        <w:t xml:space="preserve">The Local Government and Housing Act 1989 </w:t>
      </w:r>
    </w:p>
    <w:p w:rsidR="004B20C5" w:rsidRDefault="004B20C5" w:rsidP="00803BF1">
      <w:pPr>
        <w:pStyle w:val="Default"/>
        <w:numPr>
          <w:ilvl w:val="0"/>
          <w:numId w:val="12"/>
        </w:numPr>
        <w:rPr>
          <w:sz w:val="22"/>
          <w:szCs w:val="22"/>
        </w:rPr>
      </w:pPr>
      <w:r>
        <w:rPr>
          <w:sz w:val="22"/>
          <w:szCs w:val="22"/>
        </w:rPr>
        <w:t xml:space="preserve">The Housing Act 2004 </w:t>
      </w:r>
    </w:p>
    <w:p w:rsidR="004B20C5" w:rsidRDefault="004B20C5" w:rsidP="004B20C5">
      <w:pPr>
        <w:pStyle w:val="Default"/>
        <w:rPr>
          <w:sz w:val="22"/>
          <w:szCs w:val="22"/>
        </w:rPr>
      </w:pPr>
    </w:p>
    <w:p w:rsidR="004B20C5" w:rsidRDefault="004B20C5" w:rsidP="004B20C5">
      <w:pPr>
        <w:pStyle w:val="Default"/>
        <w:rPr>
          <w:sz w:val="22"/>
          <w:szCs w:val="22"/>
        </w:rPr>
      </w:pPr>
      <w:r>
        <w:rPr>
          <w:b/>
          <w:bCs/>
          <w:i/>
          <w:iCs/>
          <w:sz w:val="22"/>
          <w:szCs w:val="22"/>
        </w:rPr>
        <w:t xml:space="preserve">Offences involving fraud </w:t>
      </w:r>
    </w:p>
    <w:p w:rsidR="00803BF1" w:rsidRDefault="00803BF1" w:rsidP="004B20C5">
      <w:pPr>
        <w:pStyle w:val="Default"/>
        <w:rPr>
          <w:sz w:val="22"/>
          <w:szCs w:val="22"/>
        </w:rPr>
      </w:pPr>
    </w:p>
    <w:p w:rsidR="004B20C5" w:rsidRDefault="004B20C5" w:rsidP="00803BF1">
      <w:pPr>
        <w:pStyle w:val="Default"/>
        <w:numPr>
          <w:ilvl w:val="0"/>
          <w:numId w:val="13"/>
        </w:numPr>
        <w:rPr>
          <w:sz w:val="22"/>
          <w:szCs w:val="22"/>
        </w:rPr>
      </w:pPr>
      <w:r>
        <w:rPr>
          <w:sz w:val="22"/>
          <w:szCs w:val="22"/>
        </w:rPr>
        <w:t xml:space="preserve">Offences in which the victim has been deprived of money, property or other benefit by misrepresentation/deception on the part of the offender including: </w:t>
      </w:r>
    </w:p>
    <w:p w:rsidR="004B20C5" w:rsidRDefault="004B20C5" w:rsidP="00803BF1">
      <w:pPr>
        <w:pStyle w:val="Default"/>
        <w:numPr>
          <w:ilvl w:val="0"/>
          <w:numId w:val="13"/>
        </w:numPr>
        <w:rPr>
          <w:sz w:val="22"/>
          <w:szCs w:val="22"/>
        </w:rPr>
      </w:pPr>
      <w:r>
        <w:rPr>
          <w:sz w:val="22"/>
          <w:szCs w:val="22"/>
        </w:rPr>
        <w:t xml:space="preserve">Theft </w:t>
      </w:r>
    </w:p>
    <w:p w:rsidR="004B20C5" w:rsidRDefault="004B20C5" w:rsidP="00803BF1">
      <w:pPr>
        <w:pStyle w:val="Default"/>
        <w:numPr>
          <w:ilvl w:val="0"/>
          <w:numId w:val="13"/>
        </w:numPr>
        <w:rPr>
          <w:sz w:val="22"/>
          <w:szCs w:val="22"/>
        </w:rPr>
      </w:pPr>
      <w:r>
        <w:rPr>
          <w:sz w:val="22"/>
          <w:szCs w:val="22"/>
        </w:rPr>
        <w:t xml:space="preserve">Burglary </w:t>
      </w:r>
    </w:p>
    <w:p w:rsidR="004B20C5" w:rsidRDefault="004B20C5" w:rsidP="00803BF1">
      <w:pPr>
        <w:pStyle w:val="Default"/>
        <w:numPr>
          <w:ilvl w:val="0"/>
          <w:numId w:val="13"/>
        </w:numPr>
        <w:rPr>
          <w:sz w:val="22"/>
          <w:szCs w:val="22"/>
        </w:rPr>
      </w:pPr>
      <w:r>
        <w:rPr>
          <w:sz w:val="22"/>
          <w:szCs w:val="22"/>
        </w:rPr>
        <w:t xml:space="preserve">Fraud </w:t>
      </w:r>
    </w:p>
    <w:p w:rsidR="004B20C5" w:rsidRDefault="004B20C5" w:rsidP="00803BF1">
      <w:pPr>
        <w:pStyle w:val="Default"/>
        <w:numPr>
          <w:ilvl w:val="0"/>
          <w:numId w:val="13"/>
        </w:numPr>
        <w:rPr>
          <w:sz w:val="22"/>
          <w:szCs w:val="22"/>
        </w:rPr>
      </w:pPr>
      <w:r>
        <w:rPr>
          <w:sz w:val="22"/>
          <w:szCs w:val="22"/>
        </w:rPr>
        <w:t xml:space="preserve">Benefit fraud (particularly where tenants are in receipt Housing Benefit) </w:t>
      </w:r>
    </w:p>
    <w:p w:rsidR="004B20C5" w:rsidRDefault="004B20C5" w:rsidP="00803BF1">
      <w:pPr>
        <w:pStyle w:val="Default"/>
        <w:numPr>
          <w:ilvl w:val="0"/>
          <w:numId w:val="13"/>
        </w:numPr>
        <w:rPr>
          <w:sz w:val="22"/>
          <w:szCs w:val="22"/>
        </w:rPr>
      </w:pPr>
      <w:r>
        <w:rPr>
          <w:sz w:val="22"/>
          <w:szCs w:val="22"/>
        </w:rPr>
        <w:t xml:space="preserve">Conspiracy to defraud </w:t>
      </w:r>
    </w:p>
    <w:p w:rsidR="004B20C5" w:rsidRDefault="004B20C5" w:rsidP="00803BF1">
      <w:pPr>
        <w:pStyle w:val="Default"/>
        <w:numPr>
          <w:ilvl w:val="0"/>
          <w:numId w:val="13"/>
        </w:numPr>
        <w:rPr>
          <w:sz w:val="22"/>
          <w:szCs w:val="22"/>
        </w:rPr>
      </w:pPr>
      <w:r>
        <w:rPr>
          <w:sz w:val="22"/>
          <w:szCs w:val="22"/>
        </w:rPr>
        <w:t xml:space="preserve">Obtaining money or property by deception </w:t>
      </w:r>
    </w:p>
    <w:p w:rsidR="004B20C5" w:rsidRDefault="004B20C5" w:rsidP="00803BF1">
      <w:pPr>
        <w:pStyle w:val="Default"/>
        <w:numPr>
          <w:ilvl w:val="0"/>
          <w:numId w:val="13"/>
        </w:numPr>
        <w:rPr>
          <w:sz w:val="22"/>
          <w:szCs w:val="22"/>
        </w:rPr>
      </w:pPr>
      <w:r>
        <w:rPr>
          <w:sz w:val="22"/>
          <w:szCs w:val="22"/>
        </w:rPr>
        <w:t xml:space="preserve">People trafficking </w:t>
      </w:r>
    </w:p>
    <w:p w:rsidR="004B20C5" w:rsidRDefault="004B20C5" w:rsidP="00803BF1">
      <w:pPr>
        <w:pStyle w:val="Default"/>
        <w:numPr>
          <w:ilvl w:val="0"/>
          <w:numId w:val="13"/>
        </w:numPr>
        <w:rPr>
          <w:sz w:val="22"/>
          <w:szCs w:val="22"/>
        </w:rPr>
      </w:pPr>
      <w:r>
        <w:rPr>
          <w:sz w:val="22"/>
          <w:szCs w:val="22"/>
        </w:rPr>
        <w:t xml:space="preserve">Being struck off as the company director </w:t>
      </w:r>
    </w:p>
    <w:p w:rsidR="004B20C5" w:rsidRDefault="004B20C5" w:rsidP="004B20C5">
      <w:pPr>
        <w:pStyle w:val="Default"/>
        <w:rPr>
          <w:sz w:val="22"/>
          <w:szCs w:val="22"/>
        </w:rPr>
      </w:pPr>
    </w:p>
    <w:p w:rsidR="004B20C5" w:rsidRDefault="004B20C5" w:rsidP="004B20C5">
      <w:pPr>
        <w:pStyle w:val="Default"/>
        <w:rPr>
          <w:sz w:val="22"/>
          <w:szCs w:val="22"/>
        </w:rPr>
      </w:pPr>
      <w:r>
        <w:rPr>
          <w:b/>
          <w:bCs/>
          <w:i/>
          <w:iCs/>
          <w:sz w:val="22"/>
          <w:szCs w:val="22"/>
        </w:rPr>
        <w:t xml:space="preserve">Offences involving violence </w:t>
      </w:r>
    </w:p>
    <w:p w:rsidR="00803BF1" w:rsidRDefault="00803BF1" w:rsidP="004B20C5">
      <w:pPr>
        <w:pStyle w:val="Default"/>
        <w:rPr>
          <w:sz w:val="22"/>
          <w:szCs w:val="22"/>
        </w:rPr>
      </w:pPr>
    </w:p>
    <w:p w:rsidR="004B20C5" w:rsidRDefault="004B20C5" w:rsidP="004B20C5">
      <w:pPr>
        <w:pStyle w:val="Default"/>
        <w:rPr>
          <w:sz w:val="22"/>
          <w:szCs w:val="22"/>
        </w:rPr>
      </w:pPr>
      <w:r>
        <w:rPr>
          <w:sz w:val="22"/>
          <w:szCs w:val="22"/>
        </w:rPr>
        <w:t xml:space="preserve">A conviction for the offence of: </w:t>
      </w:r>
    </w:p>
    <w:p w:rsidR="004B20C5" w:rsidRPr="00803BF1" w:rsidRDefault="004B20C5" w:rsidP="00803BF1">
      <w:pPr>
        <w:pStyle w:val="Default"/>
        <w:numPr>
          <w:ilvl w:val="0"/>
          <w:numId w:val="14"/>
        </w:numPr>
        <w:rPr>
          <w:rFonts w:ascii="Wingdings" w:hAnsi="Wingdings" w:cs="Wingdings"/>
          <w:sz w:val="22"/>
          <w:szCs w:val="22"/>
        </w:rPr>
      </w:pPr>
      <w:r>
        <w:rPr>
          <w:sz w:val="22"/>
          <w:szCs w:val="22"/>
        </w:rPr>
        <w:t xml:space="preserve">Murder </w:t>
      </w:r>
    </w:p>
    <w:p w:rsidR="004B20C5" w:rsidRDefault="004B20C5" w:rsidP="00803BF1">
      <w:pPr>
        <w:pStyle w:val="Default"/>
        <w:numPr>
          <w:ilvl w:val="0"/>
          <w:numId w:val="14"/>
        </w:numPr>
        <w:rPr>
          <w:sz w:val="22"/>
          <w:szCs w:val="22"/>
        </w:rPr>
      </w:pPr>
      <w:r>
        <w:rPr>
          <w:sz w:val="22"/>
          <w:szCs w:val="22"/>
        </w:rPr>
        <w:t xml:space="preserve">Manslaughter </w:t>
      </w:r>
    </w:p>
    <w:p w:rsidR="004B20C5" w:rsidRDefault="004B20C5" w:rsidP="00803BF1">
      <w:pPr>
        <w:pStyle w:val="Default"/>
        <w:numPr>
          <w:ilvl w:val="0"/>
          <w:numId w:val="14"/>
        </w:numPr>
        <w:rPr>
          <w:sz w:val="22"/>
          <w:szCs w:val="22"/>
        </w:rPr>
      </w:pPr>
      <w:r>
        <w:rPr>
          <w:sz w:val="22"/>
          <w:szCs w:val="22"/>
        </w:rPr>
        <w:t xml:space="preserve">Arson </w:t>
      </w:r>
    </w:p>
    <w:p w:rsidR="004B20C5" w:rsidRDefault="004B20C5" w:rsidP="00803BF1">
      <w:pPr>
        <w:pStyle w:val="Default"/>
        <w:numPr>
          <w:ilvl w:val="0"/>
          <w:numId w:val="14"/>
        </w:numPr>
        <w:rPr>
          <w:sz w:val="22"/>
          <w:szCs w:val="22"/>
        </w:rPr>
      </w:pPr>
      <w:r>
        <w:rPr>
          <w:sz w:val="22"/>
          <w:szCs w:val="22"/>
        </w:rPr>
        <w:t xml:space="preserve">Malicious wounding or grievous bodily harm </w:t>
      </w:r>
    </w:p>
    <w:p w:rsidR="004B20C5" w:rsidRDefault="004B20C5" w:rsidP="00803BF1">
      <w:pPr>
        <w:pStyle w:val="Default"/>
        <w:numPr>
          <w:ilvl w:val="0"/>
          <w:numId w:val="14"/>
        </w:numPr>
        <w:rPr>
          <w:sz w:val="22"/>
          <w:szCs w:val="22"/>
        </w:rPr>
      </w:pPr>
      <w:r>
        <w:rPr>
          <w:sz w:val="22"/>
          <w:szCs w:val="22"/>
        </w:rPr>
        <w:t xml:space="preserve">Grievous bodily harm with intent </w:t>
      </w:r>
    </w:p>
    <w:p w:rsidR="004B20C5" w:rsidRDefault="004B20C5" w:rsidP="00803BF1">
      <w:pPr>
        <w:pStyle w:val="Default"/>
        <w:numPr>
          <w:ilvl w:val="0"/>
          <w:numId w:val="14"/>
        </w:numPr>
        <w:rPr>
          <w:sz w:val="22"/>
          <w:szCs w:val="22"/>
        </w:rPr>
      </w:pPr>
      <w:r>
        <w:rPr>
          <w:sz w:val="22"/>
          <w:szCs w:val="22"/>
        </w:rPr>
        <w:lastRenderedPageBreak/>
        <w:t xml:space="preserve">Actual bodily harm </w:t>
      </w:r>
    </w:p>
    <w:p w:rsidR="004B20C5" w:rsidRDefault="004B20C5" w:rsidP="00803BF1">
      <w:pPr>
        <w:pStyle w:val="Default"/>
        <w:numPr>
          <w:ilvl w:val="0"/>
          <w:numId w:val="14"/>
        </w:numPr>
        <w:rPr>
          <w:sz w:val="22"/>
          <w:szCs w:val="22"/>
        </w:rPr>
      </w:pPr>
      <w:r>
        <w:rPr>
          <w:sz w:val="22"/>
          <w:szCs w:val="22"/>
        </w:rPr>
        <w:t xml:space="preserve">Grievous bodily harm </w:t>
      </w:r>
    </w:p>
    <w:p w:rsidR="004B20C5" w:rsidRDefault="004B20C5" w:rsidP="00803BF1">
      <w:pPr>
        <w:pStyle w:val="Default"/>
        <w:numPr>
          <w:ilvl w:val="0"/>
          <w:numId w:val="14"/>
        </w:numPr>
        <w:rPr>
          <w:sz w:val="22"/>
          <w:szCs w:val="22"/>
        </w:rPr>
      </w:pPr>
      <w:r>
        <w:rPr>
          <w:sz w:val="22"/>
          <w:szCs w:val="22"/>
        </w:rPr>
        <w:t xml:space="preserve">Robbery </w:t>
      </w:r>
    </w:p>
    <w:p w:rsidR="004B20C5" w:rsidRDefault="004B20C5" w:rsidP="00803BF1">
      <w:pPr>
        <w:pStyle w:val="Default"/>
        <w:numPr>
          <w:ilvl w:val="0"/>
          <w:numId w:val="14"/>
        </w:numPr>
        <w:rPr>
          <w:sz w:val="22"/>
          <w:szCs w:val="22"/>
        </w:rPr>
      </w:pPr>
      <w:r>
        <w:rPr>
          <w:sz w:val="22"/>
          <w:szCs w:val="22"/>
        </w:rPr>
        <w:t xml:space="preserve">Racially aggravated criminal damage </w:t>
      </w:r>
    </w:p>
    <w:p w:rsidR="004B20C5" w:rsidRDefault="004B20C5" w:rsidP="00803BF1">
      <w:pPr>
        <w:pStyle w:val="Default"/>
        <w:numPr>
          <w:ilvl w:val="0"/>
          <w:numId w:val="14"/>
        </w:numPr>
        <w:rPr>
          <w:sz w:val="22"/>
          <w:szCs w:val="22"/>
        </w:rPr>
      </w:pPr>
      <w:r>
        <w:rPr>
          <w:sz w:val="22"/>
          <w:szCs w:val="22"/>
        </w:rPr>
        <w:t xml:space="preserve">Common assault </w:t>
      </w:r>
    </w:p>
    <w:p w:rsidR="004B20C5" w:rsidRDefault="004B20C5" w:rsidP="00803BF1">
      <w:pPr>
        <w:pStyle w:val="Default"/>
        <w:numPr>
          <w:ilvl w:val="0"/>
          <w:numId w:val="14"/>
        </w:numPr>
        <w:rPr>
          <w:sz w:val="22"/>
          <w:szCs w:val="22"/>
        </w:rPr>
      </w:pPr>
      <w:r>
        <w:rPr>
          <w:sz w:val="22"/>
          <w:szCs w:val="22"/>
        </w:rPr>
        <w:t xml:space="preserve">Common assault which is racially aggravated </w:t>
      </w:r>
    </w:p>
    <w:p w:rsidR="004B20C5" w:rsidRDefault="004B20C5" w:rsidP="00803BF1">
      <w:pPr>
        <w:pStyle w:val="Default"/>
        <w:numPr>
          <w:ilvl w:val="0"/>
          <w:numId w:val="14"/>
        </w:numPr>
        <w:rPr>
          <w:sz w:val="22"/>
          <w:szCs w:val="22"/>
        </w:rPr>
      </w:pPr>
      <w:r>
        <w:rPr>
          <w:sz w:val="22"/>
          <w:szCs w:val="22"/>
        </w:rPr>
        <w:t xml:space="preserve">Assault occasioning actual bodily harm </w:t>
      </w:r>
    </w:p>
    <w:p w:rsidR="004B20C5" w:rsidRDefault="004B20C5" w:rsidP="00803BF1">
      <w:pPr>
        <w:pStyle w:val="Default"/>
        <w:numPr>
          <w:ilvl w:val="0"/>
          <w:numId w:val="14"/>
        </w:numPr>
        <w:rPr>
          <w:sz w:val="22"/>
          <w:szCs w:val="22"/>
        </w:rPr>
      </w:pPr>
      <w:r>
        <w:rPr>
          <w:sz w:val="22"/>
          <w:szCs w:val="22"/>
        </w:rPr>
        <w:t xml:space="preserve">Possession of an offensive weapon </w:t>
      </w:r>
    </w:p>
    <w:p w:rsidR="004B20C5" w:rsidRDefault="004B20C5" w:rsidP="00803BF1">
      <w:pPr>
        <w:pStyle w:val="Default"/>
        <w:numPr>
          <w:ilvl w:val="0"/>
          <w:numId w:val="14"/>
        </w:numPr>
        <w:rPr>
          <w:sz w:val="22"/>
          <w:szCs w:val="22"/>
        </w:rPr>
      </w:pPr>
      <w:r>
        <w:rPr>
          <w:sz w:val="22"/>
          <w:szCs w:val="22"/>
        </w:rPr>
        <w:t xml:space="preserve">Possession of a firearm </w:t>
      </w:r>
    </w:p>
    <w:p w:rsidR="004B20C5" w:rsidRDefault="004B20C5" w:rsidP="004B20C5">
      <w:pPr>
        <w:pStyle w:val="Default"/>
        <w:rPr>
          <w:sz w:val="22"/>
          <w:szCs w:val="22"/>
        </w:rPr>
      </w:pPr>
    </w:p>
    <w:p w:rsidR="004B20C5" w:rsidRDefault="004B20C5" w:rsidP="004B20C5">
      <w:pPr>
        <w:pStyle w:val="Default"/>
        <w:rPr>
          <w:b/>
          <w:bCs/>
          <w:i/>
          <w:iCs/>
          <w:sz w:val="22"/>
          <w:szCs w:val="22"/>
        </w:rPr>
      </w:pPr>
      <w:r>
        <w:rPr>
          <w:b/>
          <w:bCs/>
          <w:i/>
          <w:iCs/>
          <w:sz w:val="22"/>
          <w:szCs w:val="22"/>
        </w:rPr>
        <w:t xml:space="preserve">Offences involving drugs </w:t>
      </w:r>
    </w:p>
    <w:p w:rsidR="00C8693B" w:rsidRDefault="00C8693B" w:rsidP="004B20C5">
      <w:pPr>
        <w:pStyle w:val="Default"/>
        <w:rPr>
          <w:sz w:val="22"/>
          <w:szCs w:val="22"/>
        </w:rPr>
      </w:pPr>
    </w:p>
    <w:p w:rsidR="004B20C5" w:rsidRDefault="004B20C5" w:rsidP="00803BF1">
      <w:pPr>
        <w:pStyle w:val="Default"/>
        <w:numPr>
          <w:ilvl w:val="0"/>
          <w:numId w:val="15"/>
        </w:numPr>
        <w:rPr>
          <w:sz w:val="22"/>
          <w:szCs w:val="22"/>
        </w:rPr>
      </w:pPr>
      <w:r>
        <w:rPr>
          <w:sz w:val="22"/>
          <w:szCs w:val="22"/>
        </w:rPr>
        <w:t xml:space="preserve">Consideration should be given to the nature of the offence and what bearing it could have on the management of a private rented property. The nature, quantity and class of drugs should be taken into account. </w:t>
      </w:r>
    </w:p>
    <w:p w:rsidR="004B20C5" w:rsidRDefault="004B20C5" w:rsidP="004B20C5">
      <w:pPr>
        <w:pStyle w:val="Default"/>
        <w:rPr>
          <w:sz w:val="22"/>
          <w:szCs w:val="22"/>
        </w:rPr>
      </w:pPr>
    </w:p>
    <w:p w:rsidR="004B20C5" w:rsidRDefault="004B20C5" w:rsidP="004B20C5">
      <w:pPr>
        <w:pStyle w:val="Default"/>
        <w:rPr>
          <w:b/>
          <w:bCs/>
          <w:i/>
          <w:iCs/>
          <w:sz w:val="22"/>
          <w:szCs w:val="22"/>
        </w:rPr>
      </w:pPr>
      <w:r>
        <w:rPr>
          <w:b/>
          <w:bCs/>
          <w:i/>
          <w:iCs/>
          <w:sz w:val="22"/>
          <w:szCs w:val="22"/>
        </w:rPr>
        <w:t xml:space="preserve">Offences involving sexual offences </w:t>
      </w:r>
    </w:p>
    <w:p w:rsidR="00C8693B" w:rsidRDefault="00C8693B" w:rsidP="004B20C5">
      <w:pPr>
        <w:pStyle w:val="Default"/>
        <w:rPr>
          <w:sz w:val="22"/>
          <w:szCs w:val="22"/>
        </w:rPr>
      </w:pPr>
    </w:p>
    <w:p w:rsidR="004B20C5" w:rsidRDefault="004B20C5" w:rsidP="00803BF1">
      <w:pPr>
        <w:pStyle w:val="Default"/>
        <w:numPr>
          <w:ilvl w:val="0"/>
          <w:numId w:val="15"/>
        </w:numPr>
        <w:rPr>
          <w:sz w:val="22"/>
          <w:szCs w:val="22"/>
        </w:rPr>
      </w:pPr>
      <w:r>
        <w:rPr>
          <w:sz w:val="22"/>
          <w:szCs w:val="22"/>
        </w:rPr>
        <w:t xml:space="preserve">An offence contained in schedule 3 of the Sexual Offences Act 2003. </w:t>
      </w:r>
    </w:p>
    <w:p w:rsidR="004B20C5" w:rsidRDefault="004B20C5" w:rsidP="004B20C5">
      <w:pPr>
        <w:pStyle w:val="Default"/>
        <w:rPr>
          <w:sz w:val="22"/>
          <w:szCs w:val="22"/>
        </w:rPr>
      </w:pPr>
    </w:p>
    <w:p w:rsidR="004B20C5" w:rsidRDefault="004B20C5" w:rsidP="004B20C5">
      <w:pPr>
        <w:pStyle w:val="Default"/>
        <w:rPr>
          <w:b/>
          <w:bCs/>
          <w:i/>
          <w:iCs/>
          <w:sz w:val="22"/>
          <w:szCs w:val="22"/>
        </w:rPr>
      </w:pPr>
      <w:r>
        <w:rPr>
          <w:b/>
          <w:bCs/>
          <w:i/>
          <w:iCs/>
          <w:sz w:val="22"/>
          <w:szCs w:val="22"/>
        </w:rPr>
        <w:t xml:space="preserve">Unlawful discrimination </w:t>
      </w:r>
    </w:p>
    <w:p w:rsidR="00C8693B" w:rsidRDefault="00C8693B" w:rsidP="004B20C5">
      <w:pPr>
        <w:pStyle w:val="Default"/>
        <w:rPr>
          <w:sz w:val="22"/>
          <w:szCs w:val="22"/>
        </w:rPr>
      </w:pPr>
    </w:p>
    <w:p w:rsidR="004B20C5" w:rsidRDefault="004B20C5" w:rsidP="00803BF1">
      <w:pPr>
        <w:pStyle w:val="Default"/>
        <w:numPr>
          <w:ilvl w:val="0"/>
          <w:numId w:val="15"/>
        </w:numPr>
        <w:rPr>
          <w:sz w:val="22"/>
          <w:szCs w:val="22"/>
        </w:rPr>
      </w:pPr>
      <w:r>
        <w:rPr>
          <w:sz w:val="22"/>
          <w:szCs w:val="22"/>
        </w:rPr>
        <w:t xml:space="preserve">Unlawful discrimination can include findings of an Industrial Tribunal on unlawful employment practice such as discrimination under the Disability Discrimination Act. Consideration should be given to the nature of the unlawful discrimination and what bearing it could have on the management of a licensable property. </w:t>
      </w:r>
    </w:p>
    <w:p w:rsidR="004B20C5" w:rsidRDefault="004B20C5"/>
    <w:sectPr w:rsidR="004B20C5" w:rsidSect="009F458D">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FDD" w:rsidRDefault="00441FDD" w:rsidP="00441FDD">
      <w:pPr>
        <w:spacing w:after="0" w:line="240" w:lineRule="auto"/>
      </w:pPr>
      <w:r>
        <w:separator/>
      </w:r>
    </w:p>
  </w:endnote>
  <w:endnote w:type="continuationSeparator" w:id="0">
    <w:p w:rsidR="00441FDD" w:rsidRDefault="00441FDD" w:rsidP="0044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FDD" w:rsidRDefault="00441FDD" w:rsidP="00441FDD">
      <w:pPr>
        <w:spacing w:after="0" w:line="240" w:lineRule="auto"/>
      </w:pPr>
      <w:r>
        <w:separator/>
      </w:r>
    </w:p>
  </w:footnote>
  <w:footnote w:type="continuationSeparator" w:id="0">
    <w:p w:rsidR="00441FDD" w:rsidRDefault="00441FDD" w:rsidP="00441FDD">
      <w:pPr>
        <w:spacing w:after="0" w:line="240" w:lineRule="auto"/>
      </w:pPr>
      <w:r>
        <w:continuationSeparator/>
      </w:r>
    </w:p>
  </w:footnote>
  <w:footnote w:id="1">
    <w:p w:rsidR="00441FDD" w:rsidRDefault="00441FDD" w:rsidP="00441FDD">
      <w:pPr>
        <w:pStyle w:val="Default"/>
        <w:rPr>
          <w:sz w:val="14"/>
          <w:szCs w:val="14"/>
        </w:rPr>
      </w:pPr>
      <w:r>
        <w:rPr>
          <w:rStyle w:val="FootnoteReference"/>
        </w:rPr>
        <w:footnoteRef/>
      </w:r>
      <w:r>
        <w:t xml:space="preserve"> </w:t>
      </w:r>
      <w:r>
        <w:rPr>
          <w:rFonts w:ascii="Calibri" w:hAnsi="Calibri" w:cs="Calibri"/>
          <w:sz w:val="20"/>
          <w:szCs w:val="20"/>
        </w:rPr>
        <w:t xml:space="preserve">A wide definition of vulnerability will be used. See appendix 3 for a non-exhaustive list. </w:t>
      </w:r>
    </w:p>
    <w:p w:rsidR="00441FDD" w:rsidRDefault="00441FDD" w:rsidP="00441FDD">
      <w:pPr>
        <w:pStyle w:val="Default"/>
        <w:rPr>
          <w:i/>
          <w:iCs/>
          <w:sz w:val="22"/>
          <w:szCs w:val="22"/>
        </w:rPr>
      </w:pPr>
    </w:p>
    <w:p w:rsidR="00441FDD" w:rsidRDefault="00441FDD">
      <w:pPr>
        <w:pStyle w:val="FootnoteText"/>
      </w:pPr>
    </w:p>
  </w:footnote>
  <w:footnote w:id="2">
    <w:p w:rsidR="00686B17" w:rsidRDefault="00686B17">
      <w:pPr>
        <w:pStyle w:val="FootnoteText"/>
      </w:pPr>
      <w:r>
        <w:rPr>
          <w:rStyle w:val="FootnoteReference"/>
        </w:rPr>
        <w:footnoteRef/>
      </w:r>
      <w:r>
        <w:t xml:space="preserve"> </w:t>
      </w:r>
      <w:hyperlink r:id="rId1" w:history="1">
        <w:r w:rsidRPr="004C6D1B">
          <w:rPr>
            <w:rStyle w:val="Hyperlink"/>
            <w:sz w:val="22"/>
            <w:szCs w:val="22"/>
          </w:rPr>
          <w:t>Housing Health and Safety Rating System Operating Guidance February 2006</w:t>
        </w:r>
      </w:hyperlink>
      <w:r w:rsidRPr="004C6D1B">
        <w:rPr>
          <w:sz w:val="22"/>
          <w:szCs w:val="22"/>
        </w:rPr>
        <w:t xml:space="preserve"> Para 2.09-2.10 </w:t>
      </w:r>
    </w:p>
  </w:footnote>
  <w:footnote w:id="3">
    <w:p w:rsidR="00686B17" w:rsidRDefault="00686B17">
      <w:pPr>
        <w:pStyle w:val="FootnoteText"/>
      </w:pPr>
      <w:r>
        <w:rPr>
          <w:rStyle w:val="FootnoteReference"/>
        </w:rPr>
        <w:footnoteRef/>
      </w:r>
      <w:r>
        <w:t xml:space="preserve"> </w:t>
      </w:r>
      <w:r>
        <w:rPr>
          <w:rFonts w:ascii="Calibri" w:hAnsi="Calibri" w:cs="Calibri"/>
        </w:rPr>
        <w:t>See appendix 4 for a non-exhaustive list of relevant convictions.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CEB"/>
    <w:multiLevelType w:val="hybridMultilevel"/>
    <w:tmpl w:val="408C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D54E96"/>
    <w:multiLevelType w:val="hybridMultilevel"/>
    <w:tmpl w:val="AC5C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17ED1"/>
    <w:multiLevelType w:val="hybridMultilevel"/>
    <w:tmpl w:val="D31A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4576A"/>
    <w:multiLevelType w:val="hybridMultilevel"/>
    <w:tmpl w:val="A428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E42C1"/>
    <w:multiLevelType w:val="hybridMultilevel"/>
    <w:tmpl w:val="114E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D50B9"/>
    <w:multiLevelType w:val="hybridMultilevel"/>
    <w:tmpl w:val="137C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31474F"/>
    <w:multiLevelType w:val="hybridMultilevel"/>
    <w:tmpl w:val="B64E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D54842"/>
    <w:multiLevelType w:val="hybridMultilevel"/>
    <w:tmpl w:val="56EC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4677C5"/>
    <w:multiLevelType w:val="hybridMultilevel"/>
    <w:tmpl w:val="4384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160C60"/>
    <w:multiLevelType w:val="hybridMultilevel"/>
    <w:tmpl w:val="BFA4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BC2C3D"/>
    <w:multiLevelType w:val="hybridMultilevel"/>
    <w:tmpl w:val="D0A2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0A3173"/>
    <w:multiLevelType w:val="hybridMultilevel"/>
    <w:tmpl w:val="6830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1B4382"/>
    <w:multiLevelType w:val="hybridMultilevel"/>
    <w:tmpl w:val="A248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6D58E8"/>
    <w:multiLevelType w:val="hybridMultilevel"/>
    <w:tmpl w:val="B9EAF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5D217E"/>
    <w:multiLevelType w:val="hybridMultilevel"/>
    <w:tmpl w:val="4EEE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3230DB"/>
    <w:multiLevelType w:val="hybridMultilevel"/>
    <w:tmpl w:val="16EE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055547"/>
    <w:multiLevelType w:val="hybridMultilevel"/>
    <w:tmpl w:val="F626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0"/>
  </w:num>
  <w:num w:numId="6">
    <w:abstractNumId w:val="12"/>
  </w:num>
  <w:num w:numId="7">
    <w:abstractNumId w:val="13"/>
  </w:num>
  <w:num w:numId="8">
    <w:abstractNumId w:val="7"/>
  </w:num>
  <w:num w:numId="9">
    <w:abstractNumId w:val="16"/>
  </w:num>
  <w:num w:numId="10">
    <w:abstractNumId w:val="3"/>
  </w:num>
  <w:num w:numId="11">
    <w:abstractNumId w:val="14"/>
  </w:num>
  <w:num w:numId="12">
    <w:abstractNumId w:val="11"/>
  </w:num>
  <w:num w:numId="13">
    <w:abstractNumId w:val="8"/>
  </w:num>
  <w:num w:numId="14">
    <w:abstractNumId w:val="4"/>
  </w:num>
  <w:num w:numId="15">
    <w:abstractNumId w:val="5"/>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C5"/>
    <w:rsid w:val="00137B57"/>
    <w:rsid w:val="00211277"/>
    <w:rsid w:val="003B1998"/>
    <w:rsid w:val="003D4F6B"/>
    <w:rsid w:val="00441FDD"/>
    <w:rsid w:val="004B20C5"/>
    <w:rsid w:val="004C6D1B"/>
    <w:rsid w:val="00686B17"/>
    <w:rsid w:val="007465E9"/>
    <w:rsid w:val="00803BF1"/>
    <w:rsid w:val="008425F6"/>
    <w:rsid w:val="008B550D"/>
    <w:rsid w:val="009F458D"/>
    <w:rsid w:val="00B2361F"/>
    <w:rsid w:val="00B25230"/>
    <w:rsid w:val="00B53910"/>
    <w:rsid w:val="00B861AE"/>
    <w:rsid w:val="00C665D4"/>
    <w:rsid w:val="00C8693B"/>
    <w:rsid w:val="00E015D5"/>
    <w:rsid w:val="00F7435C"/>
    <w:rsid w:val="00FA6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20C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0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15D5"/>
    <w:rPr>
      <w:color w:val="0000FF" w:themeColor="hyperlink"/>
      <w:u w:val="single"/>
    </w:rPr>
  </w:style>
  <w:style w:type="paragraph" w:styleId="FootnoteText">
    <w:name w:val="footnote text"/>
    <w:basedOn w:val="Normal"/>
    <w:link w:val="FootnoteTextChar"/>
    <w:uiPriority w:val="99"/>
    <w:semiHidden/>
    <w:unhideWhenUsed/>
    <w:rsid w:val="00441F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FDD"/>
    <w:rPr>
      <w:sz w:val="20"/>
      <w:szCs w:val="20"/>
    </w:rPr>
  </w:style>
  <w:style w:type="character" w:styleId="FootnoteReference">
    <w:name w:val="footnote reference"/>
    <w:basedOn w:val="DefaultParagraphFont"/>
    <w:uiPriority w:val="99"/>
    <w:semiHidden/>
    <w:unhideWhenUsed/>
    <w:rsid w:val="00441FDD"/>
    <w:rPr>
      <w:vertAlign w:val="superscript"/>
    </w:rPr>
  </w:style>
  <w:style w:type="paragraph" w:styleId="BalloonText">
    <w:name w:val="Balloon Text"/>
    <w:basedOn w:val="Normal"/>
    <w:link w:val="BalloonTextChar"/>
    <w:uiPriority w:val="99"/>
    <w:semiHidden/>
    <w:unhideWhenUsed/>
    <w:rsid w:val="0068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B17"/>
    <w:rPr>
      <w:rFonts w:ascii="Tahoma" w:hAnsi="Tahoma" w:cs="Tahoma"/>
      <w:sz w:val="16"/>
      <w:szCs w:val="16"/>
    </w:rPr>
  </w:style>
  <w:style w:type="paragraph" w:styleId="EndnoteText">
    <w:name w:val="endnote text"/>
    <w:basedOn w:val="Normal"/>
    <w:link w:val="EndnoteTextChar"/>
    <w:uiPriority w:val="99"/>
    <w:semiHidden/>
    <w:unhideWhenUsed/>
    <w:rsid w:val="00686B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6B17"/>
    <w:rPr>
      <w:sz w:val="20"/>
      <w:szCs w:val="20"/>
    </w:rPr>
  </w:style>
  <w:style w:type="character" w:styleId="EndnoteReference">
    <w:name w:val="endnote reference"/>
    <w:basedOn w:val="DefaultParagraphFont"/>
    <w:uiPriority w:val="99"/>
    <w:semiHidden/>
    <w:unhideWhenUsed/>
    <w:rsid w:val="00686B17"/>
    <w:rPr>
      <w:vertAlign w:val="superscript"/>
    </w:rPr>
  </w:style>
  <w:style w:type="character" w:styleId="FollowedHyperlink">
    <w:name w:val="FollowedHyperlink"/>
    <w:basedOn w:val="DefaultParagraphFont"/>
    <w:uiPriority w:val="99"/>
    <w:semiHidden/>
    <w:unhideWhenUsed/>
    <w:rsid w:val="009F458D"/>
    <w:rPr>
      <w:color w:val="800080" w:themeColor="followedHyperlink"/>
      <w:u w:val="single"/>
    </w:rPr>
  </w:style>
  <w:style w:type="paragraph" w:styleId="NoSpacing">
    <w:name w:val="No Spacing"/>
    <w:link w:val="NoSpacingChar"/>
    <w:uiPriority w:val="1"/>
    <w:qFormat/>
    <w:rsid w:val="009F458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F458D"/>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20C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01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15D5"/>
    <w:rPr>
      <w:color w:val="0000FF" w:themeColor="hyperlink"/>
      <w:u w:val="single"/>
    </w:rPr>
  </w:style>
  <w:style w:type="paragraph" w:styleId="FootnoteText">
    <w:name w:val="footnote text"/>
    <w:basedOn w:val="Normal"/>
    <w:link w:val="FootnoteTextChar"/>
    <w:uiPriority w:val="99"/>
    <w:semiHidden/>
    <w:unhideWhenUsed/>
    <w:rsid w:val="00441F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FDD"/>
    <w:rPr>
      <w:sz w:val="20"/>
      <w:szCs w:val="20"/>
    </w:rPr>
  </w:style>
  <w:style w:type="character" w:styleId="FootnoteReference">
    <w:name w:val="footnote reference"/>
    <w:basedOn w:val="DefaultParagraphFont"/>
    <w:uiPriority w:val="99"/>
    <w:semiHidden/>
    <w:unhideWhenUsed/>
    <w:rsid w:val="00441FDD"/>
    <w:rPr>
      <w:vertAlign w:val="superscript"/>
    </w:rPr>
  </w:style>
  <w:style w:type="paragraph" w:styleId="BalloonText">
    <w:name w:val="Balloon Text"/>
    <w:basedOn w:val="Normal"/>
    <w:link w:val="BalloonTextChar"/>
    <w:uiPriority w:val="99"/>
    <w:semiHidden/>
    <w:unhideWhenUsed/>
    <w:rsid w:val="0068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B17"/>
    <w:rPr>
      <w:rFonts w:ascii="Tahoma" w:hAnsi="Tahoma" w:cs="Tahoma"/>
      <w:sz w:val="16"/>
      <w:szCs w:val="16"/>
    </w:rPr>
  </w:style>
  <w:style w:type="paragraph" w:styleId="EndnoteText">
    <w:name w:val="endnote text"/>
    <w:basedOn w:val="Normal"/>
    <w:link w:val="EndnoteTextChar"/>
    <w:uiPriority w:val="99"/>
    <w:semiHidden/>
    <w:unhideWhenUsed/>
    <w:rsid w:val="00686B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6B17"/>
    <w:rPr>
      <w:sz w:val="20"/>
      <w:szCs w:val="20"/>
    </w:rPr>
  </w:style>
  <w:style w:type="character" w:styleId="EndnoteReference">
    <w:name w:val="endnote reference"/>
    <w:basedOn w:val="DefaultParagraphFont"/>
    <w:uiPriority w:val="99"/>
    <w:semiHidden/>
    <w:unhideWhenUsed/>
    <w:rsid w:val="00686B17"/>
    <w:rPr>
      <w:vertAlign w:val="superscript"/>
    </w:rPr>
  </w:style>
  <w:style w:type="character" w:styleId="FollowedHyperlink">
    <w:name w:val="FollowedHyperlink"/>
    <w:basedOn w:val="DefaultParagraphFont"/>
    <w:uiPriority w:val="99"/>
    <w:semiHidden/>
    <w:unhideWhenUsed/>
    <w:rsid w:val="009F458D"/>
    <w:rPr>
      <w:color w:val="800080" w:themeColor="followedHyperlink"/>
      <w:u w:val="single"/>
    </w:rPr>
  </w:style>
  <w:style w:type="paragraph" w:styleId="NoSpacing">
    <w:name w:val="No Spacing"/>
    <w:link w:val="NoSpacingChar"/>
    <w:uiPriority w:val="1"/>
    <w:qFormat/>
    <w:rsid w:val="009F458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F458D"/>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ntencingcouncil.org.uk/wp-content/uploads/Definitive_guideline_TICs__totality_Final_web.pd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sentencingcouncil.org.uk/wp-content/uploads/HS-offences-definitive-guideline-FINAL-web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697644/Civil_penalty_guidance.pdf"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15810/142631.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B4CE4C26CE4EC8B77E447EA72C9FF0"/>
        <w:category>
          <w:name w:val="General"/>
          <w:gallery w:val="placeholder"/>
        </w:category>
        <w:types>
          <w:type w:val="bbPlcHdr"/>
        </w:types>
        <w:behaviors>
          <w:behavior w:val="content"/>
        </w:behaviors>
        <w:guid w:val="{EE51E639-C97C-4BA9-8071-9F3C3EF18977}"/>
      </w:docPartPr>
      <w:docPartBody>
        <w:p w:rsidR="00000000" w:rsidRDefault="00122DDE" w:rsidP="00122DDE">
          <w:pPr>
            <w:pStyle w:val="A6B4CE4C26CE4EC8B77E447EA72C9FF0"/>
          </w:pPr>
          <w:r>
            <w:rPr>
              <w:rFonts w:asciiTheme="majorHAnsi" w:eastAsiaTheme="majorEastAsia" w:hAnsiTheme="majorHAnsi" w:cstheme="majorBidi"/>
              <w:sz w:val="80"/>
              <w:szCs w:val="80"/>
            </w:rPr>
            <w:t>[Type the document title]</w:t>
          </w:r>
        </w:p>
      </w:docPartBody>
    </w:docPart>
    <w:docPart>
      <w:docPartPr>
        <w:name w:val="CA029C1AC5954748A0B410C2C593363B"/>
        <w:category>
          <w:name w:val="General"/>
          <w:gallery w:val="placeholder"/>
        </w:category>
        <w:types>
          <w:type w:val="bbPlcHdr"/>
        </w:types>
        <w:behaviors>
          <w:behavior w:val="content"/>
        </w:behaviors>
        <w:guid w:val="{B5CF4AAB-3266-413B-A6C0-9FF10C240CEA}"/>
      </w:docPartPr>
      <w:docPartBody>
        <w:p w:rsidR="00000000" w:rsidRDefault="00122DDE" w:rsidP="00122DDE">
          <w:pPr>
            <w:pStyle w:val="CA029C1AC5954748A0B410C2C593363B"/>
          </w:pPr>
          <w:r>
            <w:rPr>
              <w:rFonts w:asciiTheme="majorHAnsi" w:eastAsiaTheme="majorEastAsia" w:hAnsiTheme="majorHAnsi" w:cstheme="majorBidi"/>
              <w:sz w:val="44"/>
              <w:szCs w:val="44"/>
            </w:rPr>
            <w:t>[Type the document subtitle]</w:t>
          </w:r>
        </w:p>
      </w:docPartBody>
    </w:docPart>
    <w:docPart>
      <w:docPartPr>
        <w:name w:val="12F8DA9D97DF422A9D3C8684539F8609"/>
        <w:category>
          <w:name w:val="General"/>
          <w:gallery w:val="placeholder"/>
        </w:category>
        <w:types>
          <w:type w:val="bbPlcHdr"/>
        </w:types>
        <w:behaviors>
          <w:behavior w:val="content"/>
        </w:behaviors>
        <w:guid w:val="{FB235D73-19A4-4BA8-BE3B-CC2C53A6770F}"/>
      </w:docPartPr>
      <w:docPartBody>
        <w:p w:rsidR="00000000" w:rsidRDefault="00122DDE" w:rsidP="00122DDE">
          <w:pPr>
            <w:pStyle w:val="12F8DA9D97DF422A9D3C8684539F8609"/>
          </w:pPr>
          <w:r>
            <w:rPr>
              <w:b/>
              <w:bCs/>
            </w:rPr>
            <w:t>[Type the author name]</w:t>
          </w:r>
        </w:p>
      </w:docPartBody>
    </w:docPart>
    <w:docPart>
      <w:docPartPr>
        <w:name w:val="C23024FF863845808D8BCD42FF289236"/>
        <w:category>
          <w:name w:val="General"/>
          <w:gallery w:val="placeholder"/>
        </w:category>
        <w:types>
          <w:type w:val="bbPlcHdr"/>
        </w:types>
        <w:behaviors>
          <w:behavior w:val="content"/>
        </w:behaviors>
        <w:guid w:val="{17953AF1-F104-4025-AB47-35C8825DA750}"/>
      </w:docPartPr>
      <w:docPartBody>
        <w:p w:rsidR="00000000" w:rsidRDefault="00122DDE" w:rsidP="00122DDE">
          <w:pPr>
            <w:pStyle w:val="C23024FF863845808D8BCD42FF289236"/>
          </w:pPr>
          <w:r>
            <w:rPr>
              <w:b/>
              <w:bCs/>
            </w:rPr>
            <w:t>[Pick the date]</w:t>
          </w:r>
        </w:p>
      </w:docPartBody>
    </w:docPart>
    <w:docPart>
      <w:docPartPr>
        <w:name w:val="F8056AAE674D4A55BB091FC378CCAF86"/>
        <w:category>
          <w:name w:val="General"/>
          <w:gallery w:val="placeholder"/>
        </w:category>
        <w:types>
          <w:type w:val="bbPlcHdr"/>
        </w:types>
        <w:behaviors>
          <w:behavior w:val="content"/>
        </w:behaviors>
        <w:guid w:val="{E241D99A-7927-4233-B4BD-1B104752E44B}"/>
      </w:docPartPr>
      <w:docPartBody>
        <w:p w:rsidR="00000000" w:rsidRDefault="00122DDE" w:rsidP="00122DDE">
          <w:pPr>
            <w:pStyle w:val="F8056AAE674D4A55BB091FC378CCAF86"/>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DE"/>
    <w:rsid w:val="0012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DA5706AFD431FBFBB270D44724F2B">
    <w:name w:val="7C3DA5706AFD431FBFBB270D44724F2B"/>
    <w:rsid w:val="00122DDE"/>
  </w:style>
  <w:style w:type="paragraph" w:customStyle="1" w:styleId="A6B4CE4C26CE4EC8B77E447EA72C9FF0">
    <w:name w:val="A6B4CE4C26CE4EC8B77E447EA72C9FF0"/>
    <w:rsid w:val="00122DDE"/>
  </w:style>
  <w:style w:type="paragraph" w:customStyle="1" w:styleId="CA029C1AC5954748A0B410C2C593363B">
    <w:name w:val="CA029C1AC5954748A0B410C2C593363B"/>
    <w:rsid w:val="00122DDE"/>
  </w:style>
  <w:style w:type="paragraph" w:customStyle="1" w:styleId="12F8DA9D97DF422A9D3C8684539F8609">
    <w:name w:val="12F8DA9D97DF422A9D3C8684539F8609"/>
    <w:rsid w:val="00122DDE"/>
  </w:style>
  <w:style w:type="paragraph" w:customStyle="1" w:styleId="C23024FF863845808D8BCD42FF289236">
    <w:name w:val="C23024FF863845808D8BCD42FF289236"/>
    <w:rsid w:val="00122DDE"/>
  </w:style>
  <w:style w:type="paragraph" w:customStyle="1" w:styleId="F8056AAE674D4A55BB091FC378CCAF86">
    <w:name w:val="F8056AAE674D4A55BB091FC378CCAF86"/>
    <w:rsid w:val="00122D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DA5706AFD431FBFBB270D44724F2B">
    <w:name w:val="7C3DA5706AFD431FBFBB270D44724F2B"/>
    <w:rsid w:val="00122DDE"/>
  </w:style>
  <w:style w:type="paragraph" w:customStyle="1" w:styleId="A6B4CE4C26CE4EC8B77E447EA72C9FF0">
    <w:name w:val="A6B4CE4C26CE4EC8B77E447EA72C9FF0"/>
    <w:rsid w:val="00122DDE"/>
  </w:style>
  <w:style w:type="paragraph" w:customStyle="1" w:styleId="CA029C1AC5954748A0B410C2C593363B">
    <w:name w:val="CA029C1AC5954748A0B410C2C593363B"/>
    <w:rsid w:val="00122DDE"/>
  </w:style>
  <w:style w:type="paragraph" w:customStyle="1" w:styleId="12F8DA9D97DF422A9D3C8684539F8609">
    <w:name w:val="12F8DA9D97DF422A9D3C8684539F8609"/>
    <w:rsid w:val="00122DDE"/>
  </w:style>
  <w:style w:type="paragraph" w:customStyle="1" w:styleId="C23024FF863845808D8BCD42FF289236">
    <w:name w:val="C23024FF863845808D8BCD42FF289236"/>
    <w:rsid w:val="00122DDE"/>
  </w:style>
  <w:style w:type="paragraph" w:customStyle="1" w:styleId="F8056AAE674D4A55BB091FC378CCAF86">
    <w:name w:val="F8056AAE674D4A55BB091FC378CCAF86"/>
    <w:rsid w:val="00122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2018-06-11T00:00:00</PublishDate>
  <Abstract>The Housing and Planning Act 2016 amends the Housing Act 2004 to allow financial penalties, up to a maximum of £30,000, to be imposed as an alternative to prosecution for certain relevant housing offences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41E211-6C6B-4142-847F-E1292325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B8FB92D9</Template>
  <TotalTime>344</TotalTime>
  <Pages>12</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Civil Penalties under the Housing Act 2004</vt:lpstr>
    </vt:vector>
  </TitlesOfParts>
  <Company/>
  <LinksUpToDate>false</LinksUpToDate>
  <CharactersWithSpaces>21406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Penalties under the Housing Act 2004</dc:title>
  <dc:subject>Civil penalty as an alternative to prosecution under the Housing Act 2004</dc:subject>
  <dc:creator>T Cawthorne</dc:creator>
  <cp:lastModifiedBy>tcawthorne</cp:lastModifiedBy>
  <cp:revision>9</cp:revision>
  <cp:lastPrinted>2018-04-09T12:27:00Z</cp:lastPrinted>
  <dcterms:created xsi:type="dcterms:W3CDTF">2018-04-09T09:42:00Z</dcterms:created>
  <dcterms:modified xsi:type="dcterms:W3CDTF">2018-06-11T12:21:00Z</dcterms:modified>
</cp:coreProperties>
</file>